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70" w:rsidRPr="00BB1DC8" w:rsidRDefault="00146F70" w:rsidP="00146F70">
      <w:pPr>
        <w:widowControl/>
        <w:ind w:firstLine="480"/>
        <w:jc w:val="center"/>
        <w:rPr>
          <w:rFonts w:ascii="宋体" w:eastAsia="宋体" w:hAnsi="宋体" w:cs="宋体"/>
        </w:rPr>
        <w:sectPr w:rsidR="00146F70" w:rsidRPr="00BB1DC8">
          <w:headerReference w:type="even" r:id="rId8"/>
          <w:headerReference w:type="default" r:id="rId9"/>
          <w:footerReference w:type="even" r:id="rId10"/>
          <w:footerReference w:type="default" r:id="rId11"/>
          <w:headerReference w:type="first" r:id="rId12"/>
          <w:footerReference w:type="first" r:id="rId13"/>
          <w:pgSz w:w="11906" w:h="16839"/>
          <w:pgMar w:top="1182" w:right="1380" w:bottom="942" w:left="1740" w:header="0" w:footer="0" w:gutter="0"/>
          <w:cols w:space="720"/>
          <w:docGrid w:type="lines" w:linePitch="312"/>
        </w:sectPr>
      </w:pPr>
    </w:p>
    <w:p w:rsidR="00146F70" w:rsidRPr="00BB1DC8" w:rsidRDefault="00146F70" w:rsidP="00146F70">
      <w:pPr>
        <w:spacing w:line="360" w:lineRule="auto"/>
        <w:ind w:firstLine="883"/>
        <w:jc w:val="center"/>
        <w:rPr>
          <w:rFonts w:ascii="宋体" w:eastAsia="宋体" w:hAnsi="宋体" w:cs="宋体"/>
          <w:b/>
          <w:bCs/>
          <w:sz w:val="44"/>
          <w:szCs w:val="44"/>
        </w:rPr>
      </w:pPr>
    </w:p>
    <w:p w:rsidR="00146F70" w:rsidRPr="00BB1DC8" w:rsidRDefault="00146F70" w:rsidP="00146F70">
      <w:pPr>
        <w:spacing w:line="360" w:lineRule="auto"/>
        <w:ind w:firstLine="883"/>
        <w:jc w:val="center"/>
        <w:rPr>
          <w:rFonts w:ascii="宋体" w:eastAsia="宋体" w:hAnsi="宋体" w:cs="宋体"/>
          <w:b/>
          <w:bCs/>
          <w:sz w:val="44"/>
          <w:szCs w:val="44"/>
        </w:rPr>
      </w:pPr>
    </w:p>
    <w:p w:rsidR="00146F70" w:rsidRPr="00BB1DC8" w:rsidRDefault="00146F70" w:rsidP="00146F70">
      <w:pPr>
        <w:spacing w:line="360" w:lineRule="auto"/>
        <w:ind w:firstLine="883"/>
        <w:jc w:val="center"/>
        <w:rPr>
          <w:rFonts w:ascii="宋体" w:eastAsia="宋体" w:hAnsi="宋体" w:cs="宋体"/>
          <w:b/>
          <w:bCs/>
          <w:sz w:val="44"/>
          <w:szCs w:val="44"/>
        </w:rPr>
      </w:pPr>
    </w:p>
    <w:p w:rsidR="00146F70" w:rsidRPr="00BB1DC8" w:rsidRDefault="00146F70" w:rsidP="00146F70">
      <w:pPr>
        <w:spacing w:line="360" w:lineRule="auto"/>
        <w:ind w:firstLine="883"/>
        <w:jc w:val="center"/>
        <w:rPr>
          <w:rFonts w:ascii="宋体" w:eastAsia="宋体" w:hAnsi="宋体" w:cs="宋体"/>
          <w:b/>
          <w:bCs/>
          <w:sz w:val="44"/>
          <w:szCs w:val="44"/>
        </w:rPr>
      </w:pPr>
    </w:p>
    <w:p w:rsidR="00146F70" w:rsidRPr="00BB1DC8" w:rsidRDefault="00751FFA" w:rsidP="00146F70">
      <w:pPr>
        <w:pStyle w:val="1"/>
        <w:rPr>
          <w:rFonts w:ascii="宋体" w:eastAsia="宋体" w:hAnsi="宋体"/>
          <w:sz w:val="32"/>
          <w:szCs w:val="32"/>
        </w:rPr>
      </w:pPr>
      <w:r>
        <w:rPr>
          <w:rFonts w:ascii="宋体" w:eastAsia="宋体" w:hAnsi="宋体" w:hint="eastAsia"/>
        </w:rPr>
        <w:t>电子式电力互感器</w:t>
      </w:r>
      <w:r w:rsidR="00146F70" w:rsidRPr="00BB1DC8">
        <w:rPr>
          <w:rFonts w:ascii="宋体" w:eastAsia="宋体" w:hAnsi="宋体" w:hint="eastAsia"/>
        </w:rPr>
        <w:t>项目水土保持设施</w:t>
      </w:r>
    </w:p>
    <w:p w:rsidR="00146F70" w:rsidRPr="00BB1DC8" w:rsidRDefault="00146F70" w:rsidP="00146F70">
      <w:pPr>
        <w:spacing w:line="360" w:lineRule="auto"/>
        <w:ind w:firstLine="643"/>
        <w:jc w:val="center"/>
        <w:rPr>
          <w:rFonts w:ascii="宋体" w:eastAsia="宋体" w:hAnsi="宋体" w:cs="宋体"/>
          <w:b/>
          <w:bCs/>
          <w:sz w:val="32"/>
          <w:szCs w:val="32"/>
        </w:rPr>
      </w:pPr>
    </w:p>
    <w:p w:rsidR="00146F70" w:rsidRPr="00BB1DC8" w:rsidRDefault="00146F70" w:rsidP="00146F70">
      <w:pPr>
        <w:pStyle w:val="1"/>
        <w:rPr>
          <w:sz w:val="72"/>
          <w:szCs w:val="72"/>
        </w:rPr>
      </w:pPr>
      <w:r w:rsidRPr="00BB1DC8">
        <w:rPr>
          <w:rFonts w:hint="eastAsia"/>
          <w:sz w:val="72"/>
          <w:szCs w:val="72"/>
        </w:rPr>
        <w:t>验收鉴定书</w:t>
      </w:r>
    </w:p>
    <w:p w:rsidR="00146F70" w:rsidRPr="00BB1DC8" w:rsidRDefault="00146F70" w:rsidP="00146F70">
      <w:pPr>
        <w:spacing w:line="360" w:lineRule="auto"/>
        <w:ind w:firstLine="440"/>
        <w:jc w:val="center"/>
        <w:rPr>
          <w:rFonts w:ascii="宋体" w:eastAsia="宋体" w:hAnsi="宋体" w:cs="宋体"/>
          <w:sz w:val="22"/>
          <w:szCs w:val="24"/>
        </w:rPr>
      </w:pPr>
    </w:p>
    <w:p w:rsidR="00146F70" w:rsidRPr="00BB1DC8" w:rsidRDefault="00146F70" w:rsidP="00146F70">
      <w:pPr>
        <w:spacing w:line="360" w:lineRule="auto"/>
        <w:ind w:firstLine="440"/>
        <w:jc w:val="center"/>
        <w:rPr>
          <w:rFonts w:ascii="宋体" w:eastAsia="宋体" w:hAnsi="宋体" w:cs="宋体"/>
          <w:sz w:val="22"/>
          <w:szCs w:val="24"/>
        </w:rPr>
      </w:pPr>
    </w:p>
    <w:p w:rsidR="00146F70" w:rsidRPr="00BB1DC8" w:rsidRDefault="00146F70" w:rsidP="00146F70">
      <w:pPr>
        <w:spacing w:line="360" w:lineRule="auto"/>
        <w:ind w:firstLine="440"/>
        <w:jc w:val="center"/>
        <w:rPr>
          <w:rFonts w:ascii="宋体" w:eastAsia="宋体" w:hAnsi="宋体" w:cs="宋体"/>
          <w:sz w:val="22"/>
          <w:szCs w:val="24"/>
        </w:rPr>
      </w:pPr>
    </w:p>
    <w:p w:rsidR="00146F70" w:rsidRPr="00BB1DC8" w:rsidRDefault="00146F70" w:rsidP="00146F70">
      <w:pPr>
        <w:spacing w:line="360" w:lineRule="auto"/>
        <w:ind w:firstLine="440"/>
        <w:jc w:val="center"/>
        <w:rPr>
          <w:rFonts w:ascii="宋体" w:eastAsia="宋体" w:hAnsi="宋体" w:cs="宋体"/>
          <w:sz w:val="22"/>
          <w:szCs w:val="24"/>
        </w:rPr>
      </w:pPr>
    </w:p>
    <w:p w:rsidR="00146F70" w:rsidRPr="00BB1DC8" w:rsidRDefault="00146F70" w:rsidP="00146F70">
      <w:pPr>
        <w:spacing w:line="360" w:lineRule="auto"/>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pPr>
    </w:p>
    <w:p w:rsidR="00146F70" w:rsidRPr="00BB1DC8" w:rsidRDefault="00146F70" w:rsidP="00146F70">
      <w:pPr>
        <w:widowControl/>
        <w:ind w:firstLine="440"/>
        <w:jc w:val="center"/>
        <w:rPr>
          <w:rFonts w:ascii="宋体" w:eastAsia="宋体" w:hAnsi="宋体" w:cs="宋体"/>
          <w:sz w:val="22"/>
          <w:szCs w:val="24"/>
        </w:rPr>
        <w:sectPr w:rsidR="00146F70" w:rsidRPr="00BB1DC8">
          <w:type w:val="continuous"/>
          <w:pgSz w:w="11906" w:h="16839"/>
          <w:pgMar w:top="1182" w:right="1380" w:bottom="942" w:left="1740" w:header="0" w:footer="0" w:gutter="0"/>
          <w:cols w:space="720" w:equalWidth="0">
            <w:col w:w="8785"/>
          </w:cols>
          <w:docGrid w:type="lines" w:linePitch="312"/>
        </w:sectPr>
      </w:pPr>
    </w:p>
    <w:p w:rsidR="00146F70" w:rsidRPr="00BB1DC8" w:rsidRDefault="00146F70" w:rsidP="00146F70">
      <w:pPr>
        <w:widowControl/>
        <w:ind w:firstLine="440"/>
        <w:rPr>
          <w:rFonts w:ascii="宋体" w:eastAsia="宋体" w:hAnsi="宋体" w:cs="宋体"/>
          <w:sz w:val="22"/>
          <w:szCs w:val="24"/>
        </w:rPr>
        <w:sectPr w:rsidR="00146F70" w:rsidRPr="00BB1DC8">
          <w:type w:val="continuous"/>
          <w:pgSz w:w="11906" w:h="16839"/>
          <w:pgMar w:top="1182" w:right="1380" w:bottom="942" w:left="1740" w:header="0" w:footer="0" w:gutter="0"/>
          <w:cols w:space="720"/>
          <w:docGrid w:type="lines" w:linePitch="312"/>
        </w:sectPr>
      </w:pPr>
    </w:p>
    <w:p w:rsidR="00146F70" w:rsidRPr="00BB1DC8" w:rsidRDefault="00146F70" w:rsidP="00146F70">
      <w:pPr>
        <w:ind w:firstLine="562"/>
        <w:jc w:val="left"/>
        <w:rPr>
          <w:rFonts w:ascii="宋体" w:eastAsia="宋体" w:hAnsi="宋体"/>
          <w:b/>
          <w:sz w:val="28"/>
        </w:rPr>
      </w:pPr>
      <w:r w:rsidRPr="00BB1DC8">
        <w:rPr>
          <w:rFonts w:ascii="宋体" w:eastAsia="宋体" w:hAnsi="宋体" w:hint="eastAsia"/>
          <w:b/>
          <w:bCs/>
          <w:sz w:val="28"/>
        </w:rPr>
        <w:lastRenderedPageBreak/>
        <w:t>项目名称：</w:t>
      </w:r>
      <w:r w:rsidR="00751FFA">
        <w:rPr>
          <w:rFonts w:ascii="宋体" w:eastAsia="宋体" w:hAnsi="宋体" w:hint="eastAsia"/>
          <w:b/>
          <w:sz w:val="28"/>
          <w:u w:val="single"/>
        </w:rPr>
        <w:t>电子式电力互感器</w:t>
      </w:r>
      <w:r w:rsidRPr="00BB1DC8">
        <w:rPr>
          <w:rFonts w:ascii="宋体" w:eastAsia="宋体" w:hAnsi="宋体" w:hint="eastAsia"/>
          <w:b/>
          <w:sz w:val="28"/>
          <w:u w:val="single"/>
        </w:rPr>
        <w:t>项目</w:t>
      </w:r>
    </w:p>
    <w:p w:rsidR="00146F70" w:rsidRPr="00BB1DC8" w:rsidRDefault="00146F70" w:rsidP="00146F70">
      <w:pPr>
        <w:ind w:firstLine="562"/>
        <w:jc w:val="left"/>
        <w:rPr>
          <w:rFonts w:ascii="宋体" w:eastAsia="宋体" w:hAnsi="宋体"/>
          <w:b/>
          <w:bCs/>
          <w:sz w:val="28"/>
        </w:rPr>
      </w:pPr>
      <w:r w:rsidRPr="00BB1DC8">
        <w:rPr>
          <w:rFonts w:ascii="宋体" w:eastAsia="宋体" w:hAnsi="宋体" w:hint="eastAsia"/>
          <w:b/>
          <w:bCs/>
          <w:sz w:val="28"/>
        </w:rPr>
        <w:t>项目编号：</w:t>
      </w:r>
      <w:r w:rsidR="00B26C7C" w:rsidRPr="00B26C7C">
        <w:rPr>
          <w:rFonts w:ascii="宋体" w:eastAsia="宋体" w:hAnsi="宋体" w:hint="eastAsia"/>
          <w:b/>
          <w:bCs/>
          <w:sz w:val="28"/>
          <w:u w:val="single"/>
        </w:rPr>
        <w:t>川投资备【51142510100901】0048号</w:t>
      </w:r>
    </w:p>
    <w:p w:rsidR="00146F70" w:rsidRPr="00BB1DC8" w:rsidRDefault="00146F70" w:rsidP="00146F70">
      <w:pPr>
        <w:ind w:firstLine="562"/>
        <w:jc w:val="left"/>
        <w:rPr>
          <w:rFonts w:ascii="宋体" w:eastAsia="宋体" w:hAnsi="宋体"/>
          <w:b/>
          <w:sz w:val="28"/>
        </w:rPr>
      </w:pPr>
      <w:r w:rsidRPr="00BB1DC8">
        <w:rPr>
          <w:rFonts w:ascii="宋体" w:eastAsia="宋体" w:hAnsi="宋体" w:hint="eastAsia"/>
          <w:b/>
          <w:bCs/>
          <w:sz w:val="28"/>
        </w:rPr>
        <w:t>建设地点：</w:t>
      </w:r>
      <w:r w:rsidRPr="00BB1DC8">
        <w:rPr>
          <w:rFonts w:ascii="宋体" w:eastAsia="宋体" w:hAnsi="宋体" w:hint="eastAsia"/>
          <w:b/>
          <w:sz w:val="28"/>
          <w:u w:val="single"/>
        </w:rPr>
        <w:t>眉山市</w:t>
      </w:r>
      <w:r w:rsidR="00751FFA">
        <w:rPr>
          <w:rFonts w:ascii="宋体" w:eastAsia="宋体" w:hAnsi="宋体" w:hint="eastAsia"/>
          <w:b/>
          <w:sz w:val="28"/>
          <w:u w:val="single"/>
        </w:rPr>
        <w:t>青神县竹艺大道</w:t>
      </w:r>
    </w:p>
    <w:p w:rsidR="00146F70" w:rsidRPr="00BB1DC8" w:rsidRDefault="00146F70" w:rsidP="00146F70">
      <w:pPr>
        <w:ind w:firstLine="562"/>
        <w:jc w:val="left"/>
        <w:rPr>
          <w:rFonts w:ascii="宋体" w:eastAsia="宋体" w:hAnsi="宋体"/>
          <w:b/>
          <w:sz w:val="28"/>
        </w:rPr>
      </w:pPr>
      <w:r w:rsidRPr="00BB1DC8">
        <w:rPr>
          <w:rFonts w:ascii="宋体" w:eastAsia="宋体" w:hAnsi="宋体" w:hint="eastAsia"/>
          <w:b/>
          <w:bCs/>
          <w:sz w:val="28"/>
        </w:rPr>
        <w:t>验收单位：</w:t>
      </w:r>
      <w:r w:rsidR="00751FFA">
        <w:rPr>
          <w:rFonts w:ascii="宋体" w:eastAsia="宋体" w:hAnsi="宋体" w:hint="eastAsia"/>
          <w:b/>
          <w:sz w:val="28"/>
          <w:u w:val="single"/>
        </w:rPr>
        <w:t>四川中翼机电科技有限公司</w:t>
      </w:r>
    </w:p>
    <w:p w:rsidR="00146F70" w:rsidRPr="00BB1DC8" w:rsidRDefault="00146F70" w:rsidP="00146F70">
      <w:pPr>
        <w:widowControl/>
        <w:ind w:firstLine="640"/>
        <w:jc w:val="center"/>
        <w:rPr>
          <w:rFonts w:ascii="宋体" w:eastAsia="宋体" w:hAnsi="宋体" w:cs="宋体"/>
          <w:sz w:val="32"/>
          <w:szCs w:val="32"/>
        </w:rPr>
      </w:pPr>
    </w:p>
    <w:p w:rsidR="00146F70" w:rsidRPr="00BB1DC8" w:rsidRDefault="00146F70" w:rsidP="00146F70">
      <w:pPr>
        <w:widowControl/>
        <w:ind w:firstLine="640"/>
        <w:jc w:val="center"/>
        <w:rPr>
          <w:rFonts w:ascii="宋体" w:eastAsia="宋体" w:hAnsi="宋体" w:cs="宋体"/>
          <w:sz w:val="32"/>
          <w:szCs w:val="32"/>
        </w:rPr>
      </w:pPr>
    </w:p>
    <w:p w:rsidR="00146F70" w:rsidRPr="00BB1DC8" w:rsidRDefault="00146F70" w:rsidP="00146F70">
      <w:pPr>
        <w:ind w:firstLine="560"/>
        <w:jc w:val="center"/>
        <w:rPr>
          <w:sz w:val="28"/>
        </w:rPr>
      </w:pPr>
      <w:r w:rsidRPr="00BB1DC8">
        <w:rPr>
          <w:rFonts w:hint="eastAsia"/>
          <w:sz w:val="28"/>
        </w:rPr>
        <w:t>201</w:t>
      </w:r>
      <w:r w:rsidR="00751FFA">
        <w:rPr>
          <w:rFonts w:hint="eastAsia"/>
          <w:sz w:val="28"/>
        </w:rPr>
        <w:t>9</w:t>
      </w:r>
      <w:r w:rsidRPr="00BB1DC8">
        <w:rPr>
          <w:rFonts w:ascii="宋体" w:eastAsia="宋体" w:hAnsi="宋体" w:hint="eastAsia"/>
          <w:sz w:val="28"/>
        </w:rPr>
        <w:t>年</w:t>
      </w:r>
      <w:r w:rsidR="00751FFA">
        <w:rPr>
          <w:rFonts w:hint="eastAsia"/>
          <w:sz w:val="28"/>
        </w:rPr>
        <w:t>6</w:t>
      </w:r>
      <w:r w:rsidRPr="00BB1DC8">
        <w:rPr>
          <w:rFonts w:ascii="宋体" w:eastAsia="宋体" w:hAnsi="宋体" w:hint="eastAsia"/>
          <w:sz w:val="28"/>
        </w:rPr>
        <w:t>月</w:t>
      </w:r>
      <w:r w:rsidR="00751FFA" w:rsidRPr="00751FFA">
        <w:rPr>
          <w:rFonts w:hint="eastAsia"/>
          <w:color w:val="000000" w:themeColor="text1"/>
          <w:sz w:val="28"/>
        </w:rPr>
        <w:t xml:space="preserve"> </w:t>
      </w:r>
      <w:r w:rsidRPr="00BB1DC8">
        <w:rPr>
          <w:rFonts w:ascii="宋体" w:eastAsia="宋体" w:hAnsi="宋体" w:hint="eastAsia"/>
          <w:sz w:val="28"/>
        </w:rPr>
        <w:t>日</w:t>
      </w:r>
    </w:p>
    <w:p w:rsidR="00146F70" w:rsidRPr="00BB1DC8" w:rsidRDefault="00146F70" w:rsidP="00146F70">
      <w:pPr>
        <w:widowControl/>
        <w:ind w:firstLine="560"/>
        <w:jc w:val="center"/>
        <w:rPr>
          <w:rFonts w:ascii="宋体" w:eastAsia="宋体" w:hAnsi="宋体" w:cs="宋体"/>
          <w:sz w:val="28"/>
        </w:rPr>
        <w:sectPr w:rsidR="00146F70" w:rsidRPr="00BB1DC8">
          <w:type w:val="continuous"/>
          <w:pgSz w:w="11906" w:h="16839"/>
          <w:pgMar w:top="1182" w:right="1380" w:bottom="942" w:left="1740" w:header="0" w:footer="0" w:gutter="0"/>
          <w:cols w:space="720" w:equalWidth="0">
            <w:col w:w="8785"/>
          </w:cols>
          <w:docGrid w:type="lines" w:linePitch="312"/>
        </w:sectPr>
      </w:pPr>
    </w:p>
    <w:p w:rsidR="00146F70" w:rsidRPr="00BB1DC8" w:rsidRDefault="00146F70" w:rsidP="00146F70">
      <w:pPr>
        <w:pStyle w:val="3"/>
      </w:pPr>
      <w:r w:rsidRPr="00BB1DC8">
        <w:rPr>
          <w:rFonts w:hint="eastAsia"/>
        </w:rPr>
        <w:lastRenderedPageBreak/>
        <w:t>一、生产建设项目水土保持设施验收基本情况表</w:t>
      </w:r>
      <w:r w:rsidRPr="00BB1DC8">
        <w:rPr>
          <w:rFonts w:hint="eastAsia"/>
        </w:rPr>
        <w:tab/>
      </w:r>
    </w:p>
    <w:tbl>
      <w:tblPr>
        <w:tblStyle w:val="af"/>
        <w:tblW w:w="5000" w:type="pct"/>
        <w:tblLook w:val="04A0"/>
      </w:tblPr>
      <w:tblGrid>
        <w:gridCol w:w="2748"/>
        <w:gridCol w:w="2776"/>
        <w:gridCol w:w="1329"/>
        <w:gridCol w:w="1981"/>
      </w:tblGrid>
      <w:tr w:rsidR="00BB1DC8" w:rsidRPr="00BB1DC8" w:rsidTr="00B26C7C">
        <w:trPr>
          <w:trHeight w:val="850"/>
        </w:trPr>
        <w:tc>
          <w:tcPr>
            <w:tcW w:w="1556" w:type="pct"/>
          </w:tcPr>
          <w:p w:rsidR="00146F70" w:rsidRPr="00BB1DC8" w:rsidRDefault="00146F70" w:rsidP="00146F70">
            <w:pPr>
              <w:pStyle w:val="a7"/>
            </w:pPr>
            <w:r w:rsidRPr="00BB1DC8">
              <w:rPr>
                <w:rFonts w:hint="eastAsia"/>
              </w:rPr>
              <w:t>项目名称</w:t>
            </w:r>
          </w:p>
        </w:tc>
        <w:tc>
          <w:tcPr>
            <w:tcW w:w="1571" w:type="pct"/>
          </w:tcPr>
          <w:p w:rsidR="00146F70" w:rsidRPr="00BB1DC8" w:rsidRDefault="00751FFA" w:rsidP="00751FFA">
            <w:pPr>
              <w:pStyle w:val="a7"/>
              <w:ind w:firstLineChars="50" w:firstLine="89"/>
              <w:jc w:val="both"/>
              <w:rPr>
                <w:szCs w:val="21"/>
              </w:rPr>
            </w:pPr>
            <w:r>
              <w:rPr>
                <w:rFonts w:hint="eastAsia"/>
                <w:spacing w:val="-1"/>
                <w:szCs w:val="21"/>
              </w:rPr>
              <w:t>电子式电力互感器</w:t>
            </w:r>
            <w:r w:rsidR="005F57C7" w:rsidRPr="00BB1DC8">
              <w:rPr>
                <w:rFonts w:hint="eastAsia"/>
                <w:spacing w:val="-1"/>
                <w:szCs w:val="21"/>
              </w:rPr>
              <w:t>项目</w:t>
            </w:r>
          </w:p>
        </w:tc>
        <w:tc>
          <w:tcPr>
            <w:tcW w:w="752" w:type="pct"/>
          </w:tcPr>
          <w:p w:rsidR="00146F70" w:rsidRPr="00BB1DC8" w:rsidRDefault="00146F70" w:rsidP="00146F70">
            <w:pPr>
              <w:pStyle w:val="a7"/>
            </w:pPr>
            <w:r w:rsidRPr="00BB1DC8">
              <w:rPr>
                <w:rFonts w:hint="eastAsia"/>
              </w:rPr>
              <w:t>行业</w:t>
            </w:r>
          </w:p>
          <w:p w:rsidR="00146F70" w:rsidRPr="00BB1DC8" w:rsidRDefault="00146F70" w:rsidP="00146F70">
            <w:pPr>
              <w:pStyle w:val="a7"/>
            </w:pPr>
            <w:r w:rsidRPr="00BB1DC8">
              <w:rPr>
                <w:rFonts w:hint="eastAsia"/>
              </w:rPr>
              <w:t>类别</w:t>
            </w:r>
          </w:p>
        </w:tc>
        <w:tc>
          <w:tcPr>
            <w:tcW w:w="1120" w:type="pct"/>
          </w:tcPr>
          <w:p w:rsidR="00A023D7" w:rsidRPr="00BB1DC8" w:rsidRDefault="00751FFA" w:rsidP="00751FFA">
            <w:pPr>
              <w:ind w:firstLine="480"/>
              <w:jc w:val="both"/>
            </w:pPr>
            <w:r>
              <w:rPr>
                <w:rFonts w:hint="eastAsia"/>
              </w:rPr>
              <w:t>生产建设</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主管部门</w:t>
            </w:r>
          </w:p>
          <w:p w:rsidR="00146F70" w:rsidRPr="00BB1DC8" w:rsidRDefault="00146F70" w:rsidP="00146F70">
            <w:pPr>
              <w:pStyle w:val="a7"/>
            </w:pPr>
            <w:r w:rsidRPr="00BB1DC8">
              <w:rPr>
                <w:rFonts w:hint="eastAsia"/>
              </w:rPr>
              <w:t>（或主要投资方）</w:t>
            </w:r>
          </w:p>
        </w:tc>
        <w:tc>
          <w:tcPr>
            <w:tcW w:w="1571" w:type="pct"/>
          </w:tcPr>
          <w:p w:rsidR="00146F70" w:rsidRPr="00BB1DC8" w:rsidRDefault="00751FFA" w:rsidP="00146F70">
            <w:pPr>
              <w:pStyle w:val="a7"/>
              <w:rPr>
                <w:szCs w:val="21"/>
              </w:rPr>
            </w:pPr>
            <w:r>
              <w:rPr>
                <w:rFonts w:hint="eastAsia"/>
                <w:szCs w:val="21"/>
              </w:rPr>
              <w:t>四川中翼机电科技有限公司</w:t>
            </w:r>
          </w:p>
        </w:tc>
        <w:tc>
          <w:tcPr>
            <w:tcW w:w="752" w:type="pct"/>
          </w:tcPr>
          <w:p w:rsidR="00146F70" w:rsidRPr="00BB1DC8" w:rsidRDefault="00146F70" w:rsidP="00146F70">
            <w:pPr>
              <w:pStyle w:val="a7"/>
            </w:pPr>
            <w:r w:rsidRPr="00BB1DC8">
              <w:rPr>
                <w:rFonts w:hint="eastAsia"/>
              </w:rPr>
              <w:t>项目</w:t>
            </w:r>
          </w:p>
          <w:p w:rsidR="00146F70" w:rsidRPr="00BB1DC8" w:rsidRDefault="00146F70" w:rsidP="00146F70">
            <w:pPr>
              <w:pStyle w:val="a7"/>
            </w:pPr>
            <w:r w:rsidRPr="00BB1DC8">
              <w:rPr>
                <w:rFonts w:hint="eastAsia"/>
              </w:rPr>
              <w:t>性质</w:t>
            </w:r>
          </w:p>
        </w:tc>
        <w:tc>
          <w:tcPr>
            <w:tcW w:w="1120" w:type="pct"/>
          </w:tcPr>
          <w:p w:rsidR="00146F70" w:rsidRPr="00BB1DC8" w:rsidRDefault="00146F70" w:rsidP="00146F70">
            <w:pPr>
              <w:pStyle w:val="a7"/>
              <w:rPr>
                <w:szCs w:val="21"/>
              </w:rPr>
            </w:pPr>
            <w:r w:rsidRPr="00BB1DC8">
              <w:rPr>
                <w:rFonts w:hint="eastAsia"/>
                <w:szCs w:val="21"/>
              </w:rPr>
              <w:t>新建</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水土保持方案批复机</w:t>
            </w:r>
          </w:p>
          <w:p w:rsidR="00146F70" w:rsidRPr="00BB1DC8" w:rsidRDefault="00146F70" w:rsidP="00146F70">
            <w:pPr>
              <w:pStyle w:val="a7"/>
            </w:pPr>
            <w:r w:rsidRPr="00BB1DC8">
              <w:rPr>
                <w:rFonts w:hint="eastAsia"/>
              </w:rPr>
              <w:t>关、文号及时间</w:t>
            </w:r>
          </w:p>
        </w:tc>
        <w:tc>
          <w:tcPr>
            <w:tcW w:w="3444" w:type="pct"/>
            <w:gridSpan w:val="3"/>
          </w:tcPr>
          <w:p w:rsidR="0011089D" w:rsidRPr="00BB1DC8" w:rsidRDefault="00146F70" w:rsidP="00146F70">
            <w:pPr>
              <w:pStyle w:val="a7"/>
            </w:pPr>
            <w:r w:rsidRPr="00BB1DC8">
              <w:rPr>
                <w:rFonts w:hint="eastAsia"/>
                <w:szCs w:val="21"/>
              </w:rPr>
              <w:t>批复机关：</w:t>
            </w:r>
            <w:r w:rsidR="00751FFA">
              <w:rPr>
                <w:rFonts w:hint="eastAsia"/>
                <w:spacing w:val="-1"/>
                <w:szCs w:val="21"/>
              </w:rPr>
              <w:t>青神县</w:t>
            </w:r>
            <w:r w:rsidR="005F57C7" w:rsidRPr="00BB1DC8">
              <w:rPr>
                <w:rFonts w:hint="eastAsia"/>
                <w:spacing w:val="-1"/>
                <w:szCs w:val="21"/>
              </w:rPr>
              <w:t>水</w:t>
            </w:r>
            <w:proofErr w:type="gramStart"/>
            <w:r w:rsidR="005F57C7" w:rsidRPr="00BB1DC8">
              <w:rPr>
                <w:rFonts w:hint="eastAsia"/>
                <w:spacing w:val="-1"/>
                <w:szCs w:val="21"/>
              </w:rPr>
              <w:t>务</w:t>
            </w:r>
            <w:proofErr w:type="gramEnd"/>
            <w:r w:rsidR="005F57C7" w:rsidRPr="00BB1DC8">
              <w:rPr>
                <w:rFonts w:hint="eastAsia"/>
                <w:spacing w:val="-1"/>
                <w:szCs w:val="21"/>
              </w:rPr>
              <w:t>局</w:t>
            </w:r>
            <w:r w:rsidRPr="00BB1DC8">
              <w:rPr>
                <w:rFonts w:hint="eastAsia"/>
                <w:spacing w:val="-1"/>
                <w:szCs w:val="21"/>
              </w:rPr>
              <w:t>；批准文号：</w:t>
            </w:r>
            <w:r w:rsidR="00751FFA">
              <w:rPr>
                <w:rFonts w:hint="eastAsia"/>
              </w:rPr>
              <w:t>（</w:t>
            </w:r>
            <w:proofErr w:type="gramStart"/>
            <w:r w:rsidR="00751FFA">
              <w:rPr>
                <w:rFonts w:hint="eastAsia"/>
              </w:rPr>
              <w:t>青</w:t>
            </w:r>
            <w:r w:rsidR="0011089D" w:rsidRPr="00BB1DC8">
              <w:rPr>
                <w:rFonts w:hint="eastAsia"/>
              </w:rPr>
              <w:t>水函</w:t>
            </w:r>
            <w:proofErr w:type="gramEnd"/>
            <w:r w:rsidR="0011089D" w:rsidRPr="00BB1DC8">
              <w:rPr>
                <w:rFonts w:hint="eastAsia"/>
              </w:rPr>
              <w:t>[</w:t>
            </w:r>
            <w:r w:rsidR="00751FFA">
              <w:t>201</w:t>
            </w:r>
            <w:r w:rsidR="00751FFA">
              <w:rPr>
                <w:rFonts w:hint="eastAsia"/>
              </w:rPr>
              <w:t>1</w:t>
            </w:r>
            <w:r w:rsidR="00751FFA">
              <w:t>]</w:t>
            </w:r>
            <w:r w:rsidR="00751FFA">
              <w:rPr>
                <w:rFonts w:hint="eastAsia"/>
              </w:rPr>
              <w:t>7</w:t>
            </w:r>
            <w:r w:rsidR="0011089D" w:rsidRPr="00BB1DC8">
              <w:rPr>
                <w:rFonts w:hint="eastAsia"/>
              </w:rPr>
              <w:t>号）</w:t>
            </w:r>
          </w:p>
          <w:p w:rsidR="00146F70" w:rsidRPr="00BB1DC8" w:rsidRDefault="00146F70" w:rsidP="00146F70">
            <w:pPr>
              <w:pStyle w:val="a7"/>
              <w:rPr>
                <w:szCs w:val="21"/>
              </w:rPr>
            </w:pPr>
            <w:r w:rsidRPr="00BB1DC8">
              <w:rPr>
                <w:rFonts w:hint="eastAsia"/>
                <w:spacing w:val="-1"/>
                <w:szCs w:val="21"/>
              </w:rPr>
              <w:t>批复时间：</w:t>
            </w:r>
            <w:r w:rsidRPr="00BB1DC8">
              <w:rPr>
                <w:rFonts w:hint="eastAsia"/>
                <w:spacing w:val="-1"/>
                <w:szCs w:val="21"/>
              </w:rPr>
              <w:t>20</w:t>
            </w:r>
            <w:r w:rsidR="00751FFA">
              <w:rPr>
                <w:spacing w:val="-1"/>
                <w:szCs w:val="21"/>
              </w:rPr>
              <w:t>1</w:t>
            </w:r>
            <w:r w:rsidR="00751FFA">
              <w:rPr>
                <w:rFonts w:hint="eastAsia"/>
                <w:spacing w:val="-1"/>
                <w:szCs w:val="21"/>
              </w:rPr>
              <w:t>1</w:t>
            </w:r>
            <w:r w:rsidRPr="00BB1DC8">
              <w:rPr>
                <w:rFonts w:hint="eastAsia"/>
                <w:spacing w:val="-1"/>
                <w:szCs w:val="21"/>
              </w:rPr>
              <w:t>年</w:t>
            </w:r>
            <w:r w:rsidR="00751FFA">
              <w:rPr>
                <w:rFonts w:hint="eastAsia"/>
                <w:spacing w:val="-1"/>
                <w:szCs w:val="21"/>
              </w:rPr>
              <w:t>2</w:t>
            </w:r>
            <w:r w:rsidRPr="00BB1DC8">
              <w:rPr>
                <w:rFonts w:hint="eastAsia"/>
                <w:spacing w:val="-1"/>
                <w:szCs w:val="21"/>
              </w:rPr>
              <w:t>月</w:t>
            </w:r>
            <w:r w:rsidR="00751FFA">
              <w:rPr>
                <w:rFonts w:hint="eastAsia"/>
                <w:spacing w:val="-1"/>
                <w:szCs w:val="21"/>
              </w:rPr>
              <w:t>23</w:t>
            </w:r>
            <w:r w:rsidRPr="00BB1DC8">
              <w:rPr>
                <w:rFonts w:hint="eastAsia"/>
                <w:spacing w:val="-1"/>
                <w:szCs w:val="21"/>
              </w:rPr>
              <w:t>日</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水土保持方案变更批复</w:t>
            </w:r>
          </w:p>
          <w:p w:rsidR="00146F70" w:rsidRPr="00BB1DC8" w:rsidRDefault="00146F70" w:rsidP="00146F70">
            <w:pPr>
              <w:pStyle w:val="a7"/>
            </w:pPr>
            <w:r w:rsidRPr="00BB1DC8">
              <w:rPr>
                <w:rFonts w:hint="eastAsia"/>
              </w:rPr>
              <w:t>机关、文号及时间</w:t>
            </w:r>
          </w:p>
        </w:tc>
        <w:tc>
          <w:tcPr>
            <w:tcW w:w="3444" w:type="pct"/>
            <w:gridSpan w:val="3"/>
          </w:tcPr>
          <w:p w:rsidR="00146F70" w:rsidRPr="00BB1DC8" w:rsidRDefault="00146F70" w:rsidP="00146F70">
            <w:pPr>
              <w:pStyle w:val="a7"/>
              <w:rPr>
                <w:szCs w:val="21"/>
              </w:rPr>
            </w:pPr>
            <w:r w:rsidRPr="00BB1DC8">
              <w:rPr>
                <w:rFonts w:hint="eastAsia"/>
                <w:szCs w:val="21"/>
              </w:rPr>
              <w:t>无</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项目建设起止时间</w:t>
            </w:r>
          </w:p>
        </w:tc>
        <w:tc>
          <w:tcPr>
            <w:tcW w:w="3444" w:type="pct"/>
            <w:gridSpan w:val="3"/>
          </w:tcPr>
          <w:p w:rsidR="00146F70" w:rsidRPr="00BB1DC8" w:rsidRDefault="00751FFA" w:rsidP="00146F70">
            <w:pPr>
              <w:pStyle w:val="a7"/>
              <w:rPr>
                <w:szCs w:val="21"/>
              </w:rPr>
            </w:pPr>
            <w:r>
              <w:rPr>
                <w:rFonts w:hint="eastAsia"/>
                <w:spacing w:val="-1"/>
                <w:szCs w:val="21"/>
              </w:rPr>
              <w:t>2010</w:t>
            </w:r>
            <w:r>
              <w:rPr>
                <w:rFonts w:hint="eastAsia"/>
                <w:spacing w:val="-1"/>
                <w:szCs w:val="21"/>
              </w:rPr>
              <w:t>年</w:t>
            </w:r>
            <w:r>
              <w:rPr>
                <w:rFonts w:hint="eastAsia"/>
                <w:spacing w:val="-1"/>
                <w:szCs w:val="21"/>
              </w:rPr>
              <w:t>12</w:t>
            </w:r>
            <w:r>
              <w:rPr>
                <w:rFonts w:hint="eastAsia"/>
                <w:spacing w:val="-1"/>
                <w:szCs w:val="21"/>
              </w:rPr>
              <w:t>月至</w:t>
            </w:r>
            <w:r>
              <w:rPr>
                <w:rFonts w:hint="eastAsia"/>
                <w:spacing w:val="-1"/>
                <w:szCs w:val="21"/>
              </w:rPr>
              <w:t>2011</w:t>
            </w:r>
            <w:r>
              <w:rPr>
                <w:rFonts w:hint="eastAsia"/>
                <w:spacing w:val="-1"/>
                <w:szCs w:val="21"/>
              </w:rPr>
              <w:t>年</w:t>
            </w:r>
            <w:r>
              <w:rPr>
                <w:rFonts w:hint="eastAsia"/>
                <w:spacing w:val="-1"/>
                <w:szCs w:val="21"/>
              </w:rPr>
              <w:t>8</w:t>
            </w:r>
            <w:r>
              <w:rPr>
                <w:rFonts w:hint="eastAsia"/>
                <w:spacing w:val="-1"/>
                <w:szCs w:val="21"/>
              </w:rPr>
              <w:t>月、</w:t>
            </w:r>
            <w:r>
              <w:rPr>
                <w:rFonts w:hint="eastAsia"/>
                <w:spacing w:val="-1"/>
                <w:szCs w:val="21"/>
              </w:rPr>
              <w:t>2013</w:t>
            </w:r>
            <w:r>
              <w:rPr>
                <w:rFonts w:hint="eastAsia"/>
                <w:spacing w:val="-1"/>
                <w:szCs w:val="21"/>
              </w:rPr>
              <w:t>年</w:t>
            </w:r>
            <w:r>
              <w:rPr>
                <w:rFonts w:hint="eastAsia"/>
                <w:spacing w:val="-1"/>
                <w:szCs w:val="21"/>
              </w:rPr>
              <w:t>11</w:t>
            </w:r>
            <w:r>
              <w:rPr>
                <w:rFonts w:hint="eastAsia"/>
                <w:spacing w:val="-1"/>
                <w:szCs w:val="21"/>
              </w:rPr>
              <w:t>月至</w:t>
            </w:r>
            <w:r>
              <w:rPr>
                <w:rFonts w:hint="eastAsia"/>
                <w:spacing w:val="-1"/>
                <w:szCs w:val="21"/>
              </w:rPr>
              <w:t>2014</w:t>
            </w:r>
            <w:r>
              <w:rPr>
                <w:rFonts w:hint="eastAsia"/>
                <w:spacing w:val="-1"/>
                <w:szCs w:val="21"/>
              </w:rPr>
              <w:t>年</w:t>
            </w:r>
            <w:r>
              <w:rPr>
                <w:rFonts w:hint="eastAsia"/>
                <w:spacing w:val="-1"/>
                <w:szCs w:val="21"/>
              </w:rPr>
              <w:t>4</w:t>
            </w:r>
            <w:r>
              <w:rPr>
                <w:rFonts w:hint="eastAsia"/>
                <w:spacing w:val="-1"/>
                <w:szCs w:val="21"/>
              </w:rPr>
              <w:t>月</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水土保持方案编制单位</w:t>
            </w:r>
          </w:p>
        </w:tc>
        <w:tc>
          <w:tcPr>
            <w:tcW w:w="3444" w:type="pct"/>
            <w:gridSpan w:val="3"/>
          </w:tcPr>
          <w:p w:rsidR="00146F70" w:rsidRPr="00BB1DC8" w:rsidRDefault="00751FFA" w:rsidP="00146F70">
            <w:pPr>
              <w:pStyle w:val="a7"/>
              <w:rPr>
                <w:szCs w:val="21"/>
              </w:rPr>
            </w:pPr>
            <w:r>
              <w:rPr>
                <w:rFonts w:hint="eastAsia"/>
              </w:rPr>
              <w:t>东坡区水土保持监督站水工程技术咨询设计所</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水土保持初步设计单位</w:t>
            </w:r>
          </w:p>
        </w:tc>
        <w:tc>
          <w:tcPr>
            <w:tcW w:w="3444" w:type="pct"/>
            <w:gridSpan w:val="3"/>
          </w:tcPr>
          <w:p w:rsidR="00146F70" w:rsidRPr="00BB1DC8" w:rsidRDefault="0011089D" w:rsidP="00146F70">
            <w:pPr>
              <w:pStyle w:val="a7"/>
              <w:rPr>
                <w:szCs w:val="21"/>
              </w:rPr>
            </w:pPr>
            <w:r w:rsidRPr="00BB1DC8">
              <w:rPr>
                <w:rFonts w:hint="eastAsia"/>
              </w:rPr>
              <w:t>四川</w:t>
            </w:r>
            <w:r w:rsidR="00751FFA">
              <w:rPr>
                <w:rFonts w:hint="eastAsia"/>
              </w:rPr>
              <w:t>省</w:t>
            </w:r>
            <w:proofErr w:type="gramStart"/>
            <w:r w:rsidR="00751FFA">
              <w:rPr>
                <w:rFonts w:hint="eastAsia"/>
              </w:rPr>
              <w:t>青神县吉元</w:t>
            </w:r>
            <w:proofErr w:type="gramEnd"/>
            <w:r w:rsidR="00751FFA">
              <w:rPr>
                <w:rFonts w:hint="eastAsia"/>
              </w:rPr>
              <w:t>建筑设计有限公司</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水土保持监测单位</w:t>
            </w:r>
          </w:p>
        </w:tc>
        <w:tc>
          <w:tcPr>
            <w:tcW w:w="3444" w:type="pct"/>
            <w:gridSpan w:val="3"/>
          </w:tcPr>
          <w:p w:rsidR="00146F70" w:rsidRPr="00BB1DC8" w:rsidRDefault="00146F70" w:rsidP="00146F70">
            <w:pPr>
              <w:pStyle w:val="a7"/>
              <w:rPr>
                <w:szCs w:val="21"/>
              </w:rPr>
            </w:pPr>
            <w:r w:rsidRPr="00BB1DC8">
              <w:rPr>
                <w:rFonts w:hint="eastAsia"/>
                <w:szCs w:val="21"/>
              </w:rPr>
              <w:t>无</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水土保持施工单位</w:t>
            </w:r>
          </w:p>
        </w:tc>
        <w:tc>
          <w:tcPr>
            <w:tcW w:w="3444" w:type="pct"/>
            <w:gridSpan w:val="3"/>
          </w:tcPr>
          <w:p w:rsidR="00146F70" w:rsidRPr="00BB1DC8" w:rsidRDefault="00751FFA" w:rsidP="00146F70">
            <w:pPr>
              <w:pStyle w:val="a7"/>
              <w:rPr>
                <w:szCs w:val="21"/>
              </w:rPr>
            </w:pPr>
            <w:r>
              <w:rPr>
                <w:rFonts w:hint="eastAsia"/>
              </w:rPr>
              <w:t>青神县宇通建筑工程有限公司</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水土保持监理单位</w:t>
            </w:r>
          </w:p>
        </w:tc>
        <w:tc>
          <w:tcPr>
            <w:tcW w:w="3444" w:type="pct"/>
            <w:gridSpan w:val="3"/>
          </w:tcPr>
          <w:p w:rsidR="00146F70" w:rsidRPr="00BB1DC8" w:rsidRDefault="00751FFA" w:rsidP="00146F70">
            <w:pPr>
              <w:pStyle w:val="a7"/>
              <w:rPr>
                <w:szCs w:val="21"/>
              </w:rPr>
            </w:pPr>
            <w:r>
              <w:rPr>
                <w:rFonts w:hint="eastAsia"/>
              </w:rPr>
              <w:t>四川省眉山市同济建设咨询监理有限公司</w:t>
            </w:r>
          </w:p>
        </w:tc>
      </w:tr>
      <w:tr w:rsidR="00BB1DC8" w:rsidRPr="00BB1DC8" w:rsidTr="00B26C7C">
        <w:trPr>
          <w:trHeight w:val="850"/>
        </w:trPr>
        <w:tc>
          <w:tcPr>
            <w:tcW w:w="1556" w:type="pct"/>
          </w:tcPr>
          <w:p w:rsidR="00146F70" w:rsidRPr="00BB1DC8" w:rsidRDefault="00146F70" w:rsidP="00146F70">
            <w:pPr>
              <w:pStyle w:val="a7"/>
            </w:pPr>
            <w:r w:rsidRPr="00BB1DC8">
              <w:rPr>
                <w:rFonts w:hint="eastAsia"/>
              </w:rPr>
              <w:t>水土保持设施验收</w:t>
            </w:r>
          </w:p>
          <w:p w:rsidR="00146F70" w:rsidRPr="00BB1DC8" w:rsidRDefault="00146F70" w:rsidP="00146F70">
            <w:pPr>
              <w:pStyle w:val="a7"/>
            </w:pPr>
            <w:r w:rsidRPr="00BB1DC8">
              <w:rPr>
                <w:rFonts w:hint="eastAsia"/>
              </w:rPr>
              <w:t>报告编制单位</w:t>
            </w:r>
          </w:p>
        </w:tc>
        <w:tc>
          <w:tcPr>
            <w:tcW w:w="3444" w:type="pct"/>
            <w:gridSpan w:val="3"/>
          </w:tcPr>
          <w:p w:rsidR="00146F70" w:rsidRPr="00BB1DC8" w:rsidRDefault="00C27446" w:rsidP="00146F70">
            <w:pPr>
              <w:pStyle w:val="a7"/>
              <w:rPr>
                <w:szCs w:val="21"/>
              </w:rPr>
            </w:pPr>
            <w:proofErr w:type="gramStart"/>
            <w:r w:rsidRPr="00BB1DC8">
              <w:rPr>
                <w:rFonts w:hint="eastAsia"/>
                <w:szCs w:val="21"/>
              </w:rPr>
              <w:t>眉山尧路建设</w:t>
            </w:r>
            <w:proofErr w:type="gramEnd"/>
            <w:r w:rsidRPr="00BB1DC8">
              <w:rPr>
                <w:rFonts w:hint="eastAsia"/>
                <w:szCs w:val="21"/>
              </w:rPr>
              <w:t>工程项目管理有限公司</w:t>
            </w:r>
          </w:p>
        </w:tc>
      </w:tr>
    </w:tbl>
    <w:p w:rsidR="00827AA4" w:rsidRPr="00BB1DC8" w:rsidRDefault="00827AA4">
      <w:pPr>
        <w:widowControl/>
        <w:ind w:firstLineChars="0" w:firstLine="0"/>
        <w:jc w:val="left"/>
        <w:rPr>
          <w:b/>
          <w:sz w:val="30"/>
        </w:rPr>
      </w:pPr>
      <w:r w:rsidRPr="00BB1DC8">
        <w:br w:type="page"/>
      </w:r>
    </w:p>
    <w:p w:rsidR="00146F70" w:rsidRPr="00BB1DC8" w:rsidRDefault="00146F70" w:rsidP="00146F70">
      <w:pPr>
        <w:pStyle w:val="3"/>
        <w:rPr>
          <w:spacing w:val="-1"/>
        </w:rPr>
      </w:pPr>
      <w:r w:rsidRPr="00BB1DC8">
        <w:rPr>
          <w:rFonts w:hint="eastAsia"/>
        </w:rPr>
        <w:lastRenderedPageBreak/>
        <w:t>二、验收意见</w:t>
      </w:r>
    </w:p>
    <w:p w:rsidR="00146F70" w:rsidRPr="00BB1DC8" w:rsidRDefault="0037697C" w:rsidP="00146F70">
      <w:pPr>
        <w:ind w:firstLine="480"/>
      </w:pPr>
      <w:r w:rsidRPr="0037697C">
        <w:rPr>
          <w:rFonts w:hint="eastAsia"/>
        </w:rPr>
        <w:t>2019</w:t>
      </w:r>
      <w:r w:rsidR="00146F70" w:rsidRPr="0037697C">
        <w:rPr>
          <w:rFonts w:hint="eastAsia"/>
        </w:rPr>
        <w:t>年</w:t>
      </w:r>
      <w:r w:rsidRPr="0037697C">
        <w:rPr>
          <w:rFonts w:hint="eastAsia"/>
        </w:rPr>
        <w:t>6</w:t>
      </w:r>
      <w:r w:rsidR="00146F70" w:rsidRPr="0037697C">
        <w:rPr>
          <w:rFonts w:hint="eastAsia"/>
        </w:rPr>
        <w:t>月</w:t>
      </w:r>
      <w:r w:rsidRPr="0037697C">
        <w:rPr>
          <w:rFonts w:hint="eastAsia"/>
        </w:rPr>
        <w:t>28</w:t>
      </w:r>
      <w:r w:rsidR="00146F70" w:rsidRPr="0037697C">
        <w:rPr>
          <w:rFonts w:hint="eastAsia"/>
        </w:rPr>
        <w:t>日</w:t>
      </w:r>
      <w:r w:rsidR="00146F70" w:rsidRPr="00BB1DC8">
        <w:rPr>
          <w:rFonts w:hint="eastAsia"/>
        </w:rPr>
        <w:t>，</w:t>
      </w:r>
      <w:r w:rsidR="00751FFA">
        <w:rPr>
          <w:rFonts w:hint="eastAsia"/>
        </w:rPr>
        <w:t>四川中翼机电科技有限公司在青神</w:t>
      </w:r>
      <w:r w:rsidR="00146F70" w:rsidRPr="00BB1DC8">
        <w:rPr>
          <w:rFonts w:hint="eastAsia"/>
        </w:rPr>
        <w:t>组织对</w:t>
      </w:r>
      <w:r w:rsidR="00751FFA">
        <w:rPr>
          <w:rFonts w:hint="eastAsia"/>
        </w:rPr>
        <w:t>电子式电力互感器</w:t>
      </w:r>
      <w:r w:rsidR="005F57C7" w:rsidRPr="00BB1DC8">
        <w:rPr>
          <w:rFonts w:hint="eastAsia"/>
        </w:rPr>
        <w:t>项目</w:t>
      </w:r>
      <w:r w:rsidR="00146F70" w:rsidRPr="00BB1DC8">
        <w:rPr>
          <w:rFonts w:hint="eastAsia"/>
        </w:rPr>
        <w:t>水土保持设施进行专项验收，</w:t>
      </w:r>
      <w:r w:rsidR="00764D72" w:rsidRPr="00BB1DC8">
        <w:rPr>
          <w:rFonts w:hint="eastAsia"/>
        </w:rPr>
        <w:t>验收</w:t>
      </w:r>
      <w:r w:rsidR="00146F70" w:rsidRPr="00BB1DC8">
        <w:rPr>
          <w:rFonts w:hint="eastAsia"/>
        </w:rPr>
        <w:t>组按照编制单位</w:t>
      </w:r>
      <w:proofErr w:type="gramStart"/>
      <w:r w:rsidR="00C27446" w:rsidRPr="00BB1DC8">
        <w:rPr>
          <w:rFonts w:hint="eastAsia"/>
        </w:rPr>
        <w:t>眉山尧路建设</w:t>
      </w:r>
      <w:proofErr w:type="gramEnd"/>
      <w:r w:rsidR="00C27446" w:rsidRPr="00BB1DC8">
        <w:rPr>
          <w:rFonts w:hint="eastAsia"/>
        </w:rPr>
        <w:t>工程项目管理有限公司</w:t>
      </w:r>
      <w:r w:rsidR="00146F70" w:rsidRPr="00BB1DC8">
        <w:rPr>
          <w:rFonts w:hint="eastAsia"/>
        </w:rPr>
        <w:t>编制的《</w:t>
      </w:r>
      <w:r w:rsidR="00751FFA">
        <w:rPr>
          <w:rFonts w:hint="eastAsia"/>
        </w:rPr>
        <w:t>电子式电力互感器</w:t>
      </w:r>
      <w:r w:rsidR="005F57C7" w:rsidRPr="00BB1DC8">
        <w:rPr>
          <w:rFonts w:hint="eastAsia"/>
        </w:rPr>
        <w:t>项目</w:t>
      </w:r>
      <w:r w:rsidR="00146F70" w:rsidRPr="00BB1DC8">
        <w:rPr>
          <w:rFonts w:hint="eastAsia"/>
        </w:rPr>
        <w:t>水土保持设施验收报告》对照进行了现场检查和抽查，并召开了验收会议，参加会议的有水土保持设施验收报告编制单位的代表（名单附后）。</w:t>
      </w:r>
    </w:p>
    <w:p w:rsidR="00146F70" w:rsidRPr="00BB1DC8" w:rsidRDefault="00146F70" w:rsidP="00146F70">
      <w:pPr>
        <w:ind w:firstLine="480"/>
      </w:pPr>
      <w:r w:rsidRPr="00BB1DC8">
        <w:rPr>
          <w:rFonts w:hint="eastAsia"/>
        </w:rPr>
        <w:t>（一）项目概况</w:t>
      </w:r>
    </w:p>
    <w:p w:rsidR="00751FFA" w:rsidRDefault="00330027" w:rsidP="00146F70">
      <w:pPr>
        <w:ind w:firstLine="480"/>
      </w:pPr>
      <w:r w:rsidRPr="00BB1DC8">
        <w:rPr>
          <w:rFonts w:hint="eastAsia"/>
        </w:rPr>
        <w:t>本项目位于</w:t>
      </w:r>
      <w:r w:rsidR="00751FFA">
        <w:rPr>
          <w:rFonts w:hint="eastAsia"/>
        </w:rPr>
        <w:t>青神县竹艺大道</w:t>
      </w:r>
      <w:r w:rsidRPr="00BB1DC8">
        <w:rPr>
          <w:rFonts w:hint="eastAsia"/>
        </w:rPr>
        <w:t>，</w:t>
      </w:r>
      <w:r w:rsidR="00751FFA">
        <w:rPr>
          <w:rFonts w:hint="eastAsia"/>
        </w:rPr>
        <w:t>东邻竹艺大道，南</w:t>
      </w:r>
      <w:proofErr w:type="gramStart"/>
      <w:r w:rsidR="00751FFA">
        <w:rPr>
          <w:rFonts w:hint="eastAsia"/>
        </w:rPr>
        <w:t>邻规划</w:t>
      </w:r>
      <w:proofErr w:type="gramEnd"/>
      <w:r w:rsidR="00751FFA">
        <w:rPr>
          <w:rFonts w:hint="eastAsia"/>
        </w:rPr>
        <w:t>路，西邻五更村</w:t>
      </w:r>
      <w:r w:rsidR="00751FFA">
        <w:rPr>
          <w:rFonts w:hint="eastAsia"/>
        </w:rPr>
        <w:t>5</w:t>
      </w:r>
      <w:r w:rsidR="00751FFA">
        <w:rPr>
          <w:rFonts w:hint="eastAsia"/>
        </w:rPr>
        <w:t>组，北</w:t>
      </w:r>
      <w:proofErr w:type="gramStart"/>
      <w:r w:rsidR="00751FFA">
        <w:rPr>
          <w:rFonts w:hint="eastAsia"/>
        </w:rPr>
        <w:t>邻规划</w:t>
      </w:r>
      <w:proofErr w:type="gramEnd"/>
      <w:r w:rsidR="00751FFA">
        <w:rPr>
          <w:rFonts w:hint="eastAsia"/>
        </w:rPr>
        <w:t>道路。</w:t>
      </w:r>
    </w:p>
    <w:p w:rsidR="00644910" w:rsidRPr="00BB1DC8" w:rsidRDefault="00644910" w:rsidP="00146F70">
      <w:pPr>
        <w:ind w:firstLine="480"/>
      </w:pPr>
      <w:r w:rsidRPr="00BB1DC8">
        <w:rPr>
          <w:rFonts w:hint="eastAsia"/>
        </w:rPr>
        <w:t>本项目总占地</w:t>
      </w:r>
      <w:r w:rsidR="00751FFA">
        <w:rPr>
          <w:rFonts w:hint="eastAsia"/>
        </w:rPr>
        <w:t>4.67</w:t>
      </w:r>
      <w:r w:rsidRPr="00BB1DC8">
        <w:rPr>
          <w:rFonts w:hint="eastAsia"/>
        </w:rPr>
        <w:t>hm</w:t>
      </w:r>
      <w:r w:rsidRPr="00BB1DC8">
        <w:rPr>
          <w:rFonts w:hint="eastAsia"/>
          <w:vertAlign w:val="superscript"/>
        </w:rPr>
        <w:t>2</w:t>
      </w:r>
      <w:r w:rsidRPr="00BB1DC8">
        <w:rPr>
          <w:rFonts w:hint="eastAsia"/>
        </w:rPr>
        <w:t>，其中永久占地</w:t>
      </w:r>
      <w:r w:rsidR="00751FFA">
        <w:rPr>
          <w:rFonts w:hint="eastAsia"/>
        </w:rPr>
        <w:t>3.46</w:t>
      </w:r>
      <w:r w:rsidRPr="00BB1DC8">
        <w:rPr>
          <w:rFonts w:hint="eastAsia"/>
        </w:rPr>
        <w:t>hm</w:t>
      </w:r>
      <w:r w:rsidRPr="00BB1DC8">
        <w:rPr>
          <w:rFonts w:hint="eastAsia"/>
          <w:vertAlign w:val="superscript"/>
        </w:rPr>
        <w:t>2</w:t>
      </w:r>
      <w:r w:rsidRPr="00BB1DC8">
        <w:rPr>
          <w:rFonts w:hint="eastAsia"/>
        </w:rPr>
        <w:t>，临时占地</w:t>
      </w:r>
      <w:r w:rsidR="00751FFA">
        <w:rPr>
          <w:rFonts w:hint="eastAsia"/>
        </w:rPr>
        <w:t>1.21</w:t>
      </w:r>
      <w:r w:rsidRPr="00BB1DC8">
        <w:rPr>
          <w:rFonts w:hint="eastAsia"/>
        </w:rPr>
        <w:t>hm</w:t>
      </w:r>
      <w:r w:rsidRPr="00BB1DC8">
        <w:rPr>
          <w:rFonts w:hint="eastAsia"/>
          <w:vertAlign w:val="superscript"/>
        </w:rPr>
        <w:t>2</w:t>
      </w:r>
      <w:r w:rsidRPr="00BB1DC8">
        <w:rPr>
          <w:rFonts w:hint="eastAsia"/>
        </w:rPr>
        <w:t>。总建筑面积约</w:t>
      </w:r>
      <w:r w:rsidR="00751FFA">
        <w:rPr>
          <w:rFonts w:hint="eastAsia"/>
        </w:rPr>
        <w:t>3.46</w:t>
      </w:r>
      <w:r w:rsidR="00751FFA">
        <w:rPr>
          <w:rFonts w:hint="eastAsia"/>
        </w:rPr>
        <w:t>万</w:t>
      </w:r>
      <w:r w:rsidRPr="00BB1DC8">
        <w:rPr>
          <w:rFonts w:hint="eastAsia"/>
        </w:rPr>
        <w:t>m</w:t>
      </w:r>
      <w:r w:rsidRPr="00BB1DC8">
        <w:rPr>
          <w:rFonts w:hint="eastAsia"/>
          <w:vertAlign w:val="superscript"/>
        </w:rPr>
        <w:t>2</w:t>
      </w:r>
      <w:r w:rsidRPr="00BB1DC8">
        <w:rPr>
          <w:rFonts w:hint="eastAsia"/>
        </w:rPr>
        <w:t>，</w:t>
      </w:r>
      <w:r w:rsidR="0081781A">
        <w:rPr>
          <w:rFonts w:hint="eastAsia"/>
        </w:rPr>
        <w:t>无地下建筑面积</w:t>
      </w:r>
      <w:r w:rsidRPr="00BB1DC8">
        <w:rPr>
          <w:rFonts w:hint="eastAsia"/>
        </w:rPr>
        <w:t>。</w:t>
      </w:r>
      <w:r w:rsidR="0081781A">
        <w:rPr>
          <w:rFonts w:hint="eastAsia"/>
        </w:rPr>
        <w:t>直接影响区</w:t>
      </w:r>
      <w:r w:rsidR="0081781A">
        <w:rPr>
          <w:rFonts w:hint="eastAsia"/>
        </w:rPr>
        <w:t>0.13hm</w:t>
      </w:r>
      <w:r w:rsidR="0081781A" w:rsidRPr="0081781A">
        <w:rPr>
          <w:rFonts w:hint="eastAsia"/>
          <w:vertAlign w:val="superscript"/>
        </w:rPr>
        <w:t>2</w:t>
      </w:r>
      <w:r w:rsidRPr="00BB1DC8">
        <w:rPr>
          <w:rFonts w:hint="eastAsia"/>
        </w:rPr>
        <w:t>。</w:t>
      </w:r>
    </w:p>
    <w:p w:rsidR="00146F70" w:rsidRPr="00BB1DC8" w:rsidRDefault="00644910" w:rsidP="00146F70">
      <w:pPr>
        <w:ind w:firstLine="480"/>
      </w:pPr>
      <w:r w:rsidRPr="00BB1DC8">
        <w:rPr>
          <w:rFonts w:cs="宋体" w:hint="eastAsia"/>
          <w:kern w:val="0"/>
        </w:rPr>
        <w:t>本项目主要建设内容包括</w:t>
      </w:r>
      <w:r w:rsidR="0081781A">
        <w:rPr>
          <w:rFonts w:hAnsi="楷体" w:hint="eastAsia"/>
        </w:rPr>
        <w:t>生产车间（钢结构）建筑面积</w:t>
      </w:r>
      <w:r w:rsidR="0081781A">
        <w:rPr>
          <w:rFonts w:hAnsi="楷体" w:hint="eastAsia"/>
        </w:rPr>
        <w:t>1</w:t>
      </w:r>
      <w:r w:rsidR="0081781A">
        <w:rPr>
          <w:rFonts w:hAnsi="楷体" w:hint="eastAsia"/>
        </w:rPr>
        <w:t>万</w:t>
      </w:r>
      <w:r w:rsidR="0081781A">
        <w:rPr>
          <w:rFonts w:hAnsi="楷体" w:hint="eastAsia"/>
        </w:rPr>
        <w:t>m2</w:t>
      </w:r>
      <w:r w:rsidR="0081781A">
        <w:rPr>
          <w:rFonts w:hAnsi="楷体" w:hint="eastAsia"/>
        </w:rPr>
        <w:t>、办公大楼（钢构）建筑面积</w:t>
      </w:r>
      <w:r w:rsidR="0081781A">
        <w:rPr>
          <w:rFonts w:hAnsi="楷体" w:hint="eastAsia"/>
        </w:rPr>
        <w:t>0.11</w:t>
      </w:r>
      <w:r w:rsidR="0081781A">
        <w:rPr>
          <w:rFonts w:hAnsi="楷体" w:hint="eastAsia"/>
        </w:rPr>
        <w:t>万</w:t>
      </w:r>
      <w:r w:rsidR="0081781A">
        <w:rPr>
          <w:rFonts w:hAnsi="楷体" w:hint="eastAsia"/>
        </w:rPr>
        <w:t>m2</w:t>
      </w:r>
      <w:r w:rsidR="0081781A">
        <w:rPr>
          <w:rFonts w:hAnsi="楷体" w:hint="eastAsia"/>
        </w:rPr>
        <w:t>、生活区宿舍砖混建筑面积</w:t>
      </w:r>
      <w:r w:rsidR="0081781A">
        <w:rPr>
          <w:rFonts w:hAnsi="楷体" w:hint="eastAsia"/>
        </w:rPr>
        <w:t>0.32m2</w:t>
      </w:r>
      <w:r w:rsidR="0081781A">
        <w:rPr>
          <w:rFonts w:hAnsi="楷体" w:hint="eastAsia"/>
        </w:rPr>
        <w:t>、其他附属设施（砖混）</w:t>
      </w:r>
      <w:r w:rsidR="0081781A">
        <w:rPr>
          <w:rFonts w:hAnsi="楷体" w:hint="eastAsia"/>
        </w:rPr>
        <w:t>0.13</w:t>
      </w:r>
      <w:r w:rsidR="0081781A">
        <w:rPr>
          <w:rFonts w:hAnsi="楷体" w:hint="eastAsia"/>
        </w:rPr>
        <w:t>万</w:t>
      </w:r>
      <w:r w:rsidR="0081781A">
        <w:rPr>
          <w:rFonts w:hAnsi="楷体" w:hint="eastAsia"/>
        </w:rPr>
        <w:t>m2</w:t>
      </w:r>
      <w:r w:rsidR="0081781A">
        <w:rPr>
          <w:rFonts w:hAnsi="楷体" w:hint="eastAsia"/>
        </w:rPr>
        <w:t>，道路面积：</w:t>
      </w:r>
      <w:r w:rsidR="0081781A">
        <w:rPr>
          <w:rFonts w:hAnsi="楷体" w:hint="eastAsia"/>
        </w:rPr>
        <w:t>0.79</w:t>
      </w:r>
      <w:r w:rsidR="0081781A">
        <w:rPr>
          <w:rFonts w:hAnsi="楷体" w:hint="eastAsia"/>
        </w:rPr>
        <w:t>万</w:t>
      </w:r>
      <w:r w:rsidR="0081781A">
        <w:rPr>
          <w:rFonts w:hAnsi="楷体" w:hint="eastAsia"/>
        </w:rPr>
        <w:t>m2</w:t>
      </w:r>
      <w:r w:rsidR="0081781A">
        <w:rPr>
          <w:rFonts w:hAnsi="楷体" w:hint="eastAsia"/>
        </w:rPr>
        <w:t>，广场面积：</w:t>
      </w:r>
      <w:r w:rsidR="0081781A">
        <w:rPr>
          <w:rFonts w:hAnsi="楷体" w:hint="eastAsia"/>
        </w:rPr>
        <w:t>0.35</w:t>
      </w:r>
      <w:r w:rsidR="0081781A">
        <w:rPr>
          <w:rFonts w:hAnsi="楷体" w:hint="eastAsia"/>
        </w:rPr>
        <w:t>万</w:t>
      </w:r>
      <w:r w:rsidR="0081781A">
        <w:rPr>
          <w:rFonts w:hAnsi="楷体" w:hint="eastAsia"/>
        </w:rPr>
        <w:t>m2</w:t>
      </w:r>
      <w:r w:rsidR="0081781A">
        <w:rPr>
          <w:rFonts w:hAnsi="楷体" w:hint="eastAsia"/>
        </w:rPr>
        <w:t>，停车场面积：</w:t>
      </w:r>
      <w:r w:rsidR="0081781A">
        <w:rPr>
          <w:rFonts w:hAnsi="楷体" w:hint="eastAsia"/>
        </w:rPr>
        <w:t>0.76</w:t>
      </w:r>
      <w:r w:rsidR="0081781A">
        <w:rPr>
          <w:rFonts w:hAnsi="楷体" w:hint="eastAsia"/>
        </w:rPr>
        <w:t>万</w:t>
      </w:r>
      <w:r w:rsidR="0081781A">
        <w:rPr>
          <w:rFonts w:hAnsi="楷体" w:hint="eastAsia"/>
        </w:rPr>
        <w:t>m2</w:t>
      </w:r>
      <w:r w:rsidR="0081781A">
        <w:rPr>
          <w:rFonts w:hAnsi="楷体" w:hint="eastAsia"/>
        </w:rPr>
        <w:t>。</w:t>
      </w:r>
      <w:r w:rsidRPr="00BB1DC8">
        <w:rPr>
          <w:rFonts w:hint="eastAsia"/>
        </w:rPr>
        <w:t>项目区按平面布置大致可分为</w:t>
      </w:r>
      <w:r w:rsidR="0081781A">
        <w:rPr>
          <w:rFonts w:hint="eastAsia"/>
        </w:rPr>
        <w:t>项目建设区和直接影响区两个一级区，其中项目建设区中分为主体工程区、拌合场区、临时堆土区三个二级区。</w:t>
      </w:r>
    </w:p>
    <w:p w:rsidR="00644910" w:rsidRPr="00BB1DC8" w:rsidRDefault="00644910" w:rsidP="00146F70">
      <w:pPr>
        <w:ind w:firstLine="480"/>
      </w:pPr>
      <w:r w:rsidRPr="00BB1DC8">
        <w:rPr>
          <w:rFonts w:hint="eastAsia"/>
        </w:rPr>
        <w:t>本项目于</w:t>
      </w:r>
      <w:r w:rsidR="00A43215">
        <w:rPr>
          <w:rFonts w:hint="eastAsia"/>
        </w:rPr>
        <w:t>2011</w:t>
      </w:r>
      <w:r w:rsidR="00A43215">
        <w:rPr>
          <w:rFonts w:hint="eastAsia"/>
        </w:rPr>
        <w:t>年</w:t>
      </w:r>
      <w:r w:rsidR="00B26C7C">
        <w:rPr>
          <w:rFonts w:hint="eastAsia"/>
        </w:rPr>
        <w:t>4</w:t>
      </w:r>
      <w:r w:rsidR="00A43215">
        <w:rPr>
          <w:rFonts w:hint="eastAsia"/>
        </w:rPr>
        <w:t>月开工建设，</w:t>
      </w:r>
      <w:r w:rsidR="00A43215">
        <w:rPr>
          <w:rFonts w:hint="eastAsia"/>
        </w:rPr>
        <w:t>2011</w:t>
      </w:r>
      <w:r w:rsidR="00A43215">
        <w:rPr>
          <w:rFonts w:hint="eastAsia"/>
        </w:rPr>
        <w:t>年</w:t>
      </w:r>
      <w:r w:rsidR="00B26C7C">
        <w:rPr>
          <w:rFonts w:hint="eastAsia"/>
        </w:rPr>
        <w:t>9</w:t>
      </w:r>
      <w:r w:rsidR="00A43215">
        <w:rPr>
          <w:rFonts w:hint="eastAsia"/>
        </w:rPr>
        <w:t>月一期建成，</w:t>
      </w:r>
      <w:r w:rsidR="00B26C7C">
        <w:rPr>
          <w:rFonts w:hint="eastAsia"/>
        </w:rPr>
        <w:t>2016</w:t>
      </w:r>
      <w:r w:rsidR="00A43215">
        <w:rPr>
          <w:rFonts w:hint="eastAsia"/>
        </w:rPr>
        <w:t>年</w:t>
      </w:r>
      <w:proofErr w:type="gramStart"/>
      <w:r w:rsidR="00B26C7C">
        <w:rPr>
          <w:rFonts w:hint="eastAsia"/>
        </w:rPr>
        <w:t>18</w:t>
      </w:r>
      <w:proofErr w:type="gramEnd"/>
      <w:r w:rsidR="00A43215">
        <w:rPr>
          <w:rFonts w:hint="eastAsia"/>
        </w:rPr>
        <w:t>月开工，</w:t>
      </w:r>
      <w:r w:rsidR="00B26C7C">
        <w:rPr>
          <w:rFonts w:hint="eastAsia"/>
        </w:rPr>
        <w:t>2017</w:t>
      </w:r>
      <w:r w:rsidR="00A43215">
        <w:rPr>
          <w:rFonts w:hint="eastAsia"/>
        </w:rPr>
        <w:t>年</w:t>
      </w:r>
      <w:r w:rsidR="00B26C7C">
        <w:rPr>
          <w:rFonts w:hint="eastAsia"/>
        </w:rPr>
        <w:t>5</w:t>
      </w:r>
      <w:r w:rsidR="00A43215">
        <w:rPr>
          <w:rFonts w:hint="eastAsia"/>
        </w:rPr>
        <w:t>月二期建成，总工期</w:t>
      </w:r>
      <w:r w:rsidR="00A43215">
        <w:rPr>
          <w:rFonts w:hint="eastAsia"/>
        </w:rPr>
        <w:t>12</w:t>
      </w:r>
      <w:r w:rsidR="00A43215">
        <w:rPr>
          <w:rFonts w:hint="eastAsia"/>
        </w:rPr>
        <w:t>个月</w:t>
      </w:r>
      <w:r w:rsidRPr="00BB1DC8">
        <w:rPr>
          <w:rFonts w:hint="eastAsia"/>
        </w:rPr>
        <w:t>。</w:t>
      </w:r>
    </w:p>
    <w:p w:rsidR="00B3292C" w:rsidRPr="00BB1DC8" w:rsidRDefault="00B3292C" w:rsidP="00146F70">
      <w:pPr>
        <w:ind w:firstLine="480"/>
      </w:pPr>
      <w:r w:rsidRPr="00BB1DC8">
        <w:rPr>
          <w:rFonts w:hint="eastAsia"/>
        </w:rPr>
        <w:t>本项目类型为</w:t>
      </w:r>
      <w:r w:rsidR="00A43215">
        <w:rPr>
          <w:rFonts w:hint="eastAsia"/>
        </w:rPr>
        <w:t>生产建设项目</w:t>
      </w:r>
      <w:r w:rsidRPr="00BB1DC8">
        <w:rPr>
          <w:rFonts w:hint="eastAsia"/>
        </w:rPr>
        <w:t>，</w:t>
      </w:r>
      <w:r w:rsidR="00A43215">
        <w:rPr>
          <w:rFonts w:hint="eastAsia"/>
        </w:rPr>
        <w:t>水土保持补偿费</w:t>
      </w:r>
      <w:r w:rsidR="00A43215" w:rsidRPr="00BB1DC8">
        <w:t xml:space="preserve"> </w:t>
      </w:r>
      <w:r w:rsidR="00A43215">
        <w:rPr>
          <w:rFonts w:hint="eastAsia"/>
        </w:rPr>
        <w:t>0.72</w:t>
      </w:r>
      <w:r w:rsidR="00A43215">
        <w:rPr>
          <w:rFonts w:hint="eastAsia"/>
        </w:rPr>
        <w:t>万元。</w:t>
      </w:r>
    </w:p>
    <w:p w:rsidR="00146F70" w:rsidRPr="00BB1DC8" w:rsidRDefault="00146F70" w:rsidP="00146F70">
      <w:pPr>
        <w:ind w:firstLine="476"/>
      </w:pPr>
      <w:r w:rsidRPr="00BB1DC8">
        <w:rPr>
          <w:rFonts w:hint="eastAsia"/>
          <w:bCs/>
          <w:spacing w:val="-1"/>
        </w:rPr>
        <w:t>（二）水土保持方案批复情况</w:t>
      </w:r>
    </w:p>
    <w:p w:rsidR="00146F70" w:rsidRPr="00BB1DC8" w:rsidRDefault="00FB7913" w:rsidP="00146F70">
      <w:pPr>
        <w:ind w:firstLine="480"/>
      </w:pPr>
      <w:r w:rsidRPr="00BB1DC8">
        <w:rPr>
          <w:rFonts w:hint="eastAsia"/>
        </w:rPr>
        <w:t>2</w:t>
      </w:r>
      <w:r w:rsidR="00A43215">
        <w:t>01</w:t>
      </w:r>
      <w:r w:rsidR="00A43215">
        <w:rPr>
          <w:rFonts w:hint="eastAsia"/>
        </w:rPr>
        <w:t>1</w:t>
      </w:r>
      <w:r w:rsidRPr="00BB1DC8">
        <w:rPr>
          <w:rFonts w:hint="eastAsia"/>
        </w:rPr>
        <w:t>年</w:t>
      </w:r>
      <w:r w:rsidR="00A43215">
        <w:rPr>
          <w:rFonts w:hint="eastAsia"/>
        </w:rPr>
        <w:t>2</w:t>
      </w:r>
      <w:r w:rsidRPr="00BB1DC8">
        <w:rPr>
          <w:rFonts w:hint="eastAsia"/>
        </w:rPr>
        <w:t>月</w:t>
      </w:r>
      <w:r w:rsidR="00A43215">
        <w:rPr>
          <w:rFonts w:hint="eastAsia"/>
        </w:rPr>
        <w:t>23</w:t>
      </w:r>
      <w:r w:rsidR="00A43215">
        <w:rPr>
          <w:rFonts w:hint="eastAsia"/>
        </w:rPr>
        <w:t>日青神县水</w:t>
      </w:r>
      <w:proofErr w:type="gramStart"/>
      <w:r w:rsidR="00A43215">
        <w:rPr>
          <w:rFonts w:hint="eastAsia"/>
        </w:rPr>
        <w:t>务</w:t>
      </w:r>
      <w:proofErr w:type="gramEnd"/>
      <w:r w:rsidR="00A43215">
        <w:rPr>
          <w:rFonts w:hint="eastAsia"/>
        </w:rPr>
        <w:t>局对《四川中翼机电科技有限公司电子式电力互感器项目水土保持方案报告书</w:t>
      </w:r>
      <w:r w:rsidRPr="00BB1DC8">
        <w:rPr>
          <w:rFonts w:hint="eastAsia"/>
        </w:rPr>
        <w:t>》</w:t>
      </w:r>
      <w:r w:rsidR="00073D2D">
        <w:rPr>
          <w:rFonts w:hint="eastAsia"/>
        </w:rPr>
        <w:t>的批复（</w:t>
      </w:r>
      <w:proofErr w:type="gramStart"/>
      <w:r w:rsidR="00073D2D">
        <w:rPr>
          <w:rFonts w:hint="eastAsia"/>
        </w:rPr>
        <w:t>青</w:t>
      </w:r>
      <w:r w:rsidRPr="00BB1DC8">
        <w:rPr>
          <w:rFonts w:hint="eastAsia"/>
        </w:rPr>
        <w:t>水函</w:t>
      </w:r>
      <w:proofErr w:type="gramEnd"/>
      <w:r w:rsidRPr="00BB1DC8">
        <w:rPr>
          <w:rFonts w:hint="eastAsia"/>
        </w:rPr>
        <w:t>[</w:t>
      </w:r>
      <w:r w:rsidR="00073D2D">
        <w:t>201</w:t>
      </w:r>
      <w:r w:rsidR="00073D2D">
        <w:rPr>
          <w:rFonts w:hint="eastAsia"/>
        </w:rPr>
        <w:t>1</w:t>
      </w:r>
      <w:r w:rsidR="00073D2D">
        <w:t>]</w:t>
      </w:r>
      <w:r w:rsidR="00073D2D">
        <w:rPr>
          <w:rFonts w:hint="eastAsia"/>
        </w:rPr>
        <w:t>7</w:t>
      </w:r>
      <w:r w:rsidRPr="00BB1DC8">
        <w:rPr>
          <w:rFonts w:hint="eastAsia"/>
        </w:rPr>
        <w:t>号）批准了该项目水土保持方案报告书。</w:t>
      </w:r>
      <w:r w:rsidR="00146F70" w:rsidRPr="00BB1DC8">
        <w:rPr>
          <w:rFonts w:hint="eastAsia"/>
          <w:spacing w:val="-1"/>
        </w:rPr>
        <w:t>批复的主要建设内容有：</w:t>
      </w:r>
      <w:r w:rsidR="00146F70" w:rsidRPr="00BB1DC8">
        <w:rPr>
          <w:rFonts w:hint="eastAsia"/>
        </w:rPr>
        <w:t>防治责任范围为</w:t>
      </w:r>
      <w:r w:rsidR="00073D2D">
        <w:rPr>
          <w:rFonts w:hint="eastAsia"/>
        </w:rPr>
        <w:t>4.67</w:t>
      </w:r>
      <w:r w:rsidR="00146F70" w:rsidRPr="00BB1DC8">
        <w:rPr>
          <w:rFonts w:hint="eastAsia"/>
        </w:rPr>
        <w:t>hm</w:t>
      </w:r>
      <w:r w:rsidR="00146F70" w:rsidRPr="00BB1DC8">
        <w:rPr>
          <w:rFonts w:hint="eastAsia"/>
          <w:vertAlign w:val="superscript"/>
        </w:rPr>
        <w:t>2</w:t>
      </w:r>
      <w:r w:rsidR="00146F70" w:rsidRPr="00BB1DC8">
        <w:rPr>
          <w:rFonts w:hint="eastAsia"/>
        </w:rPr>
        <w:t>，其中项目建设区为</w:t>
      </w:r>
      <w:r w:rsidR="00073D2D">
        <w:rPr>
          <w:rFonts w:hint="eastAsia"/>
        </w:rPr>
        <w:t>4.54hm2</w:t>
      </w:r>
      <w:r w:rsidR="00146F70" w:rsidRPr="00BB1DC8">
        <w:rPr>
          <w:rFonts w:hint="eastAsia"/>
        </w:rPr>
        <w:t>，直接影响区为</w:t>
      </w:r>
      <w:r w:rsidR="00073D2D">
        <w:rPr>
          <w:rFonts w:hint="eastAsia"/>
        </w:rPr>
        <w:t>0.13</w:t>
      </w:r>
      <w:r w:rsidR="00146F70" w:rsidRPr="00BB1DC8">
        <w:rPr>
          <w:rFonts w:hint="eastAsia"/>
        </w:rPr>
        <w:t>hm</w:t>
      </w:r>
      <w:r w:rsidR="00146F70" w:rsidRPr="00BB1DC8">
        <w:rPr>
          <w:rFonts w:hint="eastAsia"/>
          <w:vertAlign w:val="superscript"/>
        </w:rPr>
        <w:t>2</w:t>
      </w:r>
      <w:r w:rsidR="00146F70" w:rsidRPr="00BB1DC8">
        <w:rPr>
          <w:rFonts w:hint="eastAsia"/>
        </w:rPr>
        <w:t>。防止责任范围划分为</w:t>
      </w:r>
      <w:r w:rsidR="00073D2D">
        <w:rPr>
          <w:rFonts w:hint="eastAsia"/>
        </w:rPr>
        <w:t>项目建设区和直接影响区两个一级区，其中项目建设区中分为主体工程区、拌合场区、临时堆土区三个二级区。</w:t>
      </w:r>
      <w:r w:rsidR="00146F70" w:rsidRPr="00BB1DC8">
        <w:rPr>
          <w:rFonts w:hint="eastAsia"/>
        </w:rPr>
        <w:t>水土流失量控制在允许</w:t>
      </w:r>
      <w:r w:rsidR="00146F70" w:rsidRPr="00BB1DC8">
        <w:rPr>
          <w:rFonts w:hint="eastAsia"/>
          <w:spacing w:val="-1"/>
        </w:rPr>
        <w:t>土壤流失量为</w:t>
      </w:r>
      <w:r w:rsidR="00146F70" w:rsidRPr="00BB1DC8">
        <w:rPr>
          <w:rFonts w:hint="eastAsia"/>
        </w:rPr>
        <w:t>500t/km</w:t>
      </w:r>
      <w:r w:rsidR="00146F70" w:rsidRPr="00BB1DC8">
        <w:rPr>
          <w:rFonts w:hint="eastAsia"/>
          <w:vertAlign w:val="superscript"/>
        </w:rPr>
        <w:t>2</w:t>
      </w:r>
      <w:r w:rsidR="00146F70" w:rsidRPr="00BB1DC8">
        <w:rPr>
          <w:rFonts w:hint="eastAsia"/>
        </w:rPr>
        <w:t>.a</w:t>
      </w:r>
      <w:r w:rsidR="00146F70" w:rsidRPr="00BB1DC8">
        <w:rPr>
          <w:rFonts w:hint="eastAsia"/>
        </w:rPr>
        <w:t>。</w:t>
      </w:r>
    </w:p>
    <w:p w:rsidR="00FB7913" w:rsidRPr="00BB1DC8" w:rsidRDefault="00146F70" w:rsidP="00146F70">
      <w:pPr>
        <w:ind w:firstLine="476"/>
        <w:rPr>
          <w:bCs/>
          <w:spacing w:val="-1"/>
        </w:rPr>
      </w:pPr>
      <w:r w:rsidRPr="00BB1DC8">
        <w:rPr>
          <w:rFonts w:hint="eastAsia"/>
          <w:bCs/>
          <w:spacing w:val="-1"/>
        </w:rPr>
        <w:t>（三）</w:t>
      </w:r>
      <w:r w:rsidR="00FB7913" w:rsidRPr="00BB1DC8">
        <w:rPr>
          <w:rFonts w:hint="eastAsia"/>
          <w:bCs/>
          <w:spacing w:val="-1"/>
        </w:rPr>
        <w:t>水土保持初步设计情况</w:t>
      </w:r>
    </w:p>
    <w:p w:rsidR="00FB7913" w:rsidRPr="00BB1DC8" w:rsidRDefault="00FB7913" w:rsidP="00146F70">
      <w:pPr>
        <w:ind w:firstLine="480"/>
      </w:pPr>
      <w:r w:rsidRPr="00BB1DC8">
        <w:rPr>
          <w:rFonts w:hint="eastAsia"/>
        </w:rPr>
        <w:t>2</w:t>
      </w:r>
      <w:r w:rsidR="00073D2D">
        <w:t>01</w:t>
      </w:r>
      <w:r w:rsidR="00073D2D">
        <w:rPr>
          <w:rFonts w:hint="eastAsia"/>
        </w:rPr>
        <w:t>0</w:t>
      </w:r>
      <w:r w:rsidRPr="00BB1DC8">
        <w:rPr>
          <w:rFonts w:hint="eastAsia"/>
        </w:rPr>
        <w:t>年</w:t>
      </w:r>
      <w:r w:rsidR="00073D2D">
        <w:rPr>
          <w:rFonts w:hint="eastAsia"/>
        </w:rPr>
        <w:t>10</w:t>
      </w:r>
      <w:r w:rsidRPr="00BB1DC8">
        <w:rPr>
          <w:rFonts w:hint="eastAsia"/>
        </w:rPr>
        <w:t>月</w:t>
      </w:r>
      <w:r w:rsidR="00073D2D">
        <w:rPr>
          <w:rFonts w:hint="eastAsia"/>
        </w:rPr>
        <w:t>9</w:t>
      </w:r>
      <w:r w:rsidR="00073D2D">
        <w:rPr>
          <w:rFonts w:hint="eastAsia"/>
        </w:rPr>
        <w:t>日青神县发展和改革委员会通过了四川中翼机电科技有限公司《企业投资项目备案通知书》（川投资备</w:t>
      </w:r>
      <w:r w:rsidRPr="00BB1DC8">
        <w:rPr>
          <w:rFonts w:hint="eastAsia"/>
        </w:rPr>
        <w:t>[</w:t>
      </w:r>
      <w:r w:rsidR="00073D2D">
        <w:rPr>
          <w:rFonts w:hint="eastAsia"/>
        </w:rPr>
        <w:t>51142510100901</w:t>
      </w:r>
      <w:r w:rsidR="00073D2D">
        <w:t>]</w:t>
      </w:r>
      <w:r w:rsidR="00073D2D">
        <w:rPr>
          <w:rFonts w:hint="eastAsia"/>
        </w:rPr>
        <w:t>0048</w:t>
      </w:r>
      <w:r w:rsidRPr="00BB1DC8">
        <w:rPr>
          <w:rFonts w:hint="eastAsia"/>
        </w:rPr>
        <w:t>号）。</w:t>
      </w:r>
      <w:bookmarkStart w:id="0" w:name="_Hlk525633313"/>
      <w:r w:rsidR="00156AB5" w:rsidRPr="00BB1DC8">
        <w:rPr>
          <w:rFonts w:hint="eastAsia"/>
        </w:rPr>
        <w:t>施工图设计由主体工程设计单位</w:t>
      </w:r>
      <w:r w:rsidR="00073D2D">
        <w:rPr>
          <w:rFonts w:hint="eastAsia"/>
        </w:rPr>
        <w:t>四川省</w:t>
      </w:r>
      <w:proofErr w:type="gramStart"/>
      <w:r w:rsidR="00073D2D">
        <w:rPr>
          <w:rFonts w:hint="eastAsia"/>
        </w:rPr>
        <w:t>青神县吉元</w:t>
      </w:r>
      <w:proofErr w:type="gramEnd"/>
      <w:r w:rsidR="00073D2D">
        <w:rPr>
          <w:rFonts w:hint="eastAsia"/>
        </w:rPr>
        <w:t>建筑设计有限公司</w:t>
      </w:r>
      <w:r w:rsidR="00156AB5" w:rsidRPr="00BB1DC8">
        <w:rPr>
          <w:rFonts w:hint="eastAsia"/>
        </w:rPr>
        <w:t>负责</w:t>
      </w:r>
      <w:bookmarkEnd w:id="0"/>
      <w:r w:rsidR="00DF12DA">
        <w:rPr>
          <w:rFonts w:hint="eastAsia"/>
        </w:rPr>
        <w:t>。</w:t>
      </w:r>
      <w:r w:rsidR="00DF12DA" w:rsidRPr="00BB1DC8">
        <w:t xml:space="preserve"> </w:t>
      </w:r>
    </w:p>
    <w:p w:rsidR="00156AB5" w:rsidRPr="00BB1DC8" w:rsidRDefault="00156AB5" w:rsidP="00146F70">
      <w:pPr>
        <w:ind w:firstLine="476"/>
        <w:rPr>
          <w:bCs/>
          <w:spacing w:val="-1"/>
        </w:rPr>
      </w:pPr>
      <w:r w:rsidRPr="00BB1DC8">
        <w:rPr>
          <w:rFonts w:hint="eastAsia"/>
          <w:bCs/>
          <w:spacing w:val="-1"/>
        </w:rPr>
        <w:t>（四）水土保持监测情况</w:t>
      </w:r>
    </w:p>
    <w:p w:rsidR="00156AB5" w:rsidRPr="00BB1DC8" w:rsidRDefault="00542781" w:rsidP="00146F70">
      <w:pPr>
        <w:ind w:firstLine="480"/>
      </w:pPr>
      <w:bookmarkStart w:id="1" w:name="_Hlk525638249"/>
      <w:bookmarkStart w:id="2" w:name="_Hlk525633991"/>
      <w:r w:rsidRPr="00BB1DC8">
        <w:rPr>
          <w:rFonts w:hint="eastAsia"/>
        </w:rPr>
        <w:t>水土保持监测作业由业主自行组织实施，与项目开工同时进行。</w:t>
      </w:r>
      <w:r w:rsidR="00134014" w:rsidRPr="00BB1DC8">
        <w:rPr>
          <w:rFonts w:hint="eastAsia"/>
        </w:rPr>
        <w:t>水土保持防治措施布设的位置、类型、数量基本符合实际防治需要，实施情况总体良好。项目建设区内的水土保持设施运行正常，</w:t>
      </w:r>
      <w:r w:rsidR="001D78DF" w:rsidRPr="00BB1DC8">
        <w:rPr>
          <w:rFonts w:hint="eastAsia"/>
        </w:rPr>
        <w:t>绿化树种及草坪长势</w:t>
      </w:r>
      <w:r w:rsidR="00C04EB5" w:rsidRPr="00BB1DC8">
        <w:rPr>
          <w:rFonts w:hint="eastAsia"/>
        </w:rPr>
        <w:t>良好，水土保持设施的管理、维护措施已落实到位，且能持续、安全、有效运转，符合交付使用要求。</w:t>
      </w:r>
      <w:bookmarkEnd w:id="1"/>
    </w:p>
    <w:bookmarkEnd w:id="2"/>
    <w:p w:rsidR="009427D3" w:rsidRPr="00BB1DC8" w:rsidRDefault="009427D3" w:rsidP="00146F70">
      <w:pPr>
        <w:ind w:firstLine="476"/>
        <w:rPr>
          <w:bCs/>
          <w:spacing w:val="-1"/>
        </w:rPr>
      </w:pPr>
      <w:r w:rsidRPr="00BB1DC8">
        <w:rPr>
          <w:rFonts w:hint="eastAsia"/>
          <w:bCs/>
          <w:spacing w:val="-1"/>
        </w:rPr>
        <w:t>（五）验收报告编制情况和主要结论</w:t>
      </w:r>
    </w:p>
    <w:p w:rsidR="009427D3" w:rsidRPr="00BB1DC8" w:rsidRDefault="009427D3" w:rsidP="00146F70">
      <w:pPr>
        <w:ind w:firstLine="476"/>
        <w:rPr>
          <w:bCs/>
          <w:spacing w:val="-1"/>
        </w:rPr>
      </w:pPr>
      <w:r w:rsidRPr="00BB1DC8">
        <w:rPr>
          <w:rFonts w:hint="eastAsia"/>
          <w:bCs/>
          <w:spacing w:val="-1"/>
        </w:rPr>
        <w:lastRenderedPageBreak/>
        <w:t>2</w:t>
      </w:r>
      <w:r w:rsidR="00DF12DA">
        <w:rPr>
          <w:bCs/>
          <w:spacing w:val="-1"/>
        </w:rPr>
        <w:t>01</w:t>
      </w:r>
      <w:r w:rsidR="00DF12DA">
        <w:rPr>
          <w:rFonts w:hint="eastAsia"/>
          <w:bCs/>
          <w:spacing w:val="-1"/>
        </w:rPr>
        <w:t>9</w:t>
      </w:r>
      <w:r w:rsidRPr="00BB1DC8">
        <w:rPr>
          <w:rFonts w:hint="eastAsia"/>
          <w:bCs/>
          <w:spacing w:val="-1"/>
        </w:rPr>
        <w:t>年</w:t>
      </w:r>
      <w:r w:rsidR="00DF12DA">
        <w:rPr>
          <w:rFonts w:hint="eastAsia"/>
          <w:bCs/>
          <w:spacing w:val="-1"/>
        </w:rPr>
        <w:t>5</w:t>
      </w:r>
      <w:r w:rsidRPr="00BB1DC8">
        <w:rPr>
          <w:rFonts w:hint="eastAsia"/>
          <w:bCs/>
          <w:spacing w:val="-1"/>
        </w:rPr>
        <w:t>月</w:t>
      </w:r>
      <w:r w:rsidRPr="00BB1DC8">
        <w:rPr>
          <w:rFonts w:hint="eastAsia"/>
        </w:rPr>
        <w:t>业主单位委托</w:t>
      </w:r>
      <w:proofErr w:type="gramStart"/>
      <w:r w:rsidR="00C27446" w:rsidRPr="00BB1DC8">
        <w:rPr>
          <w:rFonts w:hint="eastAsia"/>
        </w:rPr>
        <w:t>眉山尧路建设</w:t>
      </w:r>
      <w:proofErr w:type="gramEnd"/>
      <w:r w:rsidR="00C27446" w:rsidRPr="00BB1DC8">
        <w:rPr>
          <w:rFonts w:hint="eastAsia"/>
        </w:rPr>
        <w:t>工程项目管理有限公司</w:t>
      </w:r>
      <w:r w:rsidR="006408ED" w:rsidRPr="00BB1DC8">
        <w:rPr>
          <w:rFonts w:hint="eastAsia"/>
        </w:rPr>
        <w:t>编制本项目水土保持设施验收报告，编制</w:t>
      </w:r>
      <w:r w:rsidR="00112395" w:rsidRPr="00BB1DC8">
        <w:rPr>
          <w:rFonts w:hint="eastAsia"/>
        </w:rPr>
        <w:t>技术人员</w:t>
      </w:r>
      <w:r w:rsidR="006408ED" w:rsidRPr="00BB1DC8">
        <w:rPr>
          <w:rFonts w:hint="eastAsia"/>
        </w:rPr>
        <w:t>查阅了</w:t>
      </w:r>
      <w:r w:rsidRPr="00BB1DC8">
        <w:rPr>
          <w:rFonts w:hint="eastAsia"/>
        </w:rPr>
        <w:t>主体工程竣工资料，对工程现场进行了实地调查，抽查了工程措施和植物措施的运行情况，对工程</w:t>
      </w:r>
      <w:proofErr w:type="gramStart"/>
      <w:r w:rsidRPr="00BB1DC8">
        <w:rPr>
          <w:rFonts w:hint="eastAsia"/>
        </w:rPr>
        <w:t>沿线所</w:t>
      </w:r>
      <w:proofErr w:type="gramEnd"/>
      <w:r w:rsidRPr="00BB1DC8">
        <w:rPr>
          <w:rFonts w:hint="eastAsia"/>
        </w:rPr>
        <w:t>涉及的相关人员进行了书面调查，在掌握第一手资料后，于</w:t>
      </w:r>
      <w:r w:rsidR="00DF12DA">
        <w:rPr>
          <w:rFonts w:hint="eastAsia"/>
        </w:rPr>
        <w:t>2019</w:t>
      </w:r>
      <w:r w:rsidRPr="00BB1DC8">
        <w:rPr>
          <w:rFonts w:hint="eastAsia"/>
        </w:rPr>
        <w:t>年</w:t>
      </w:r>
      <w:r w:rsidR="00DF12DA">
        <w:rPr>
          <w:rFonts w:hint="eastAsia"/>
        </w:rPr>
        <w:t>6</w:t>
      </w:r>
      <w:r w:rsidRPr="00BB1DC8">
        <w:rPr>
          <w:rFonts w:hint="eastAsia"/>
        </w:rPr>
        <w:t>月编制完成了《</w:t>
      </w:r>
      <w:r w:rsidR="00DF12DA">
        <w:rPr>
          <w:rFonts w:hint="eastAsia"/>
        </w:rPr>
        <w:t>四川中翼机电科技有限公司电子式电力互感器项目水土保持设施验收</w:t>
      </w:r>
      <w:r w:rsidRPr="00BB1DC8">
        <w:rPr>
          <w:rFonts w:hint="eastAsia"/>
        </w:rPr>
        <w:t>》，报告认为：</w:t>
      </w:r>
      <w:r w:rsidRPr="00BB1DC8">
        <w:rPr>
          <w:rFonts w:hint="eastAsia"/>
          <w:lang w:val="zh-CN"/>
        </w:rPr>
        <w:t>本工程较好地完成了水土流失防治任务，各项工程安全可靠，工程质量总体合格，水土保持设施达到</w:t>
      </w:r>
      <w:r w:rsidRPr="00BB1DC8">
        <w:rPr>
          <w:rFonts w:hint="eastAsia"/>
          <w:spacing w:val="-6"/>
          <w:lang w:val="zh-CN"/>
        </w:rPr>
        <w:t>了国家水土保持法</w:t>
      </w:r>
      <w:proofErr w:type="gramStart"/>
      <w:r w:rsidRPr="00BB1DC8">
        <w:rPr>
          <w:rFonts w:hint="eastAsia"/>
          <w:spacing w:val="-6"/>
          <w:lang w:val="zh-CN"/>
        </w:rPr>
        <w:t>律法规</w:t>
      </w:r>
      <w:proofErr w:type="gramEnd"/>
      <w:r w:rsidRPr="00BB1DC8">
        <w:rPr>
          <w:rFonts w:hint="eastAsia"/>
          <w:spacing w:val="-6"/>
          <w:lang w:val="zh-CN"/>
        </w:rPr>
        <w:t>及技术标准规定的验收条件，可以组织竣工验收。</w:t>
      </w:r>
    </w:p>
    <w:p w:rsidR="00146F70" w:rsidRPr="00BB1DC8" w:rsidRDefault="00146F70" w:rsidP="00146F70">
      <w:pPr>
        <w:ind w:firstLine="480"/>
      </w:pPr>
      <w:r w:rsidRPr="00BB1DC8">
        <w:rPr>
          <w:rFonts w:hint="eastAsia"/>
        </w:rPr>
        <w:t>（</w:t>
      </w:r>
      <w:r w:rsidR="009427D3" w:rsidRPr="00BB1DC8">
        <w:rPr>
          <w:rFonts w:hint="eastAsia"/>
        </w:rPr>
        <w:t>六</w:t>
      </w:r>
      <w:r w:rsidRPr="00BB1DC8">
        <w:rPr>
          <w:rFonts w:hint="eastAsia"/>
        </w:rPr>
        <w:t>）验收结论</w:t>
      </w:r>
    </w:p>
    <w:p w:rsidR="00146F70" w:rsidRPr="00BB1DC8" w:rsidRDefault="00146F70" w:rsidP="00146F70">
      <w:pPr>
        <w:ind w:firstLine="480"/>
      </w:pPr>
      <w:r w:rsidRPr="00BB1DC8">
        <w:rPr>
          <w:rFonts w:hint="eastAsia"/>
        </w:rPr>
        <w:t>该项</w:t>
      </w:r>
      <w:r w:rsidRPr="00BB1DC8">
        <w:rPr>
          <w:rFonts w:hint="eastAsia"/>
          <w:spacing w:val="2"/>
        </w:rPr>
        <w:t>目实施过</w:t>
      </w:r>
      <w:r w:rsidRPr="00BB1DC8">
        <w:rPr>
          <w:rFonts w:hint="eastAsia"/>
        </w:rPr>
        <w:t>程中按照批复文件的</w:t>
      </w:r>
      <w:r w:rsidRPr="00BB1DC8">
        <w:rPr>
          <w:rFonts w:hint="eastAsia"/>
          <w:spacing w:val="-3"/>
        </w:rPr>
        <w:t>要求</w:t>
      </w:r>
      <w:r w:rsidRPr="00BB1DC8">
        <w:rPr>
          <w:rFonts w:hint="eastAsia"/>
          <w:spacing w:val="2"/>
        </w:rPr>
        <w:t>落实了</w:t>
      </w:r>
      <w:r w:rsidRPr="00BB1DC8">
        <w:rPr>
          <w:rFonts w:hint="eastAsia"/>
        </w:rPr>
        <w:t>水土保</w:t>
      </w:r>
      <w:r w:rsidRPr="00BB1DC8">
        <w:rPr>
          <w:rFonts w:hint="eastAsia"/>
          <w:spacing w:val="2"/>
        </w:rPr>
        <w:t>持方案</w:t>
      </w:r>
      <w:r w:rsidRPr="00BB1DC8">
        <w:rPr>
          <w:rFonts w:hint="eastAsia"/>
          <w:spacing w:val="-3"/>
        </w:rPr>
        <w:t>，完成了水土流失预防和治理任务，水土流失防治指标达到水土保持方案确定的目标值，符合水土保持设施验收的</w:t>
      </w:r>
      <w:r w:rsidRPr="00BB1DC8">
        <w:rPr>
          <w:rFonts w:hint="eastAsia"/>
        </w:rPr>
        <w:t>条件，同意该项目水土保持设施通过验收。</w:t>
      </w:r>
    </w:p>
    <w:p w:rsidR="00146F70" w:rsidRPr="00BB1DC8" w:rsidRDefault="00146F70" w:rsidP="00146F70">
      <w:pPr>
        <w:ind w:firstLine="480"/>
      </w:pPr>
      <w:r w:rsidRPr="00BB1DC8">
        <w:rPr>
          <w:rFonts w:hint="eastAsia"/>
        </w:rPr>
        <w:t>（</w:t>
      </w:r>
      <w:r w:rsidR="00A376F4">
        <w:rPr>
          <w:rFonts w:hint="eastAsia"/>
        </w:rPr>
        <w:t>七</w:t>
      </w:r>
      <w:r w:rsidRPr="00BB1DC8">
        <w:rPr>
          <w:rFonts w:hint="eastAsia"/>
        </w:rPr>
        <w:t>）后续管护要求</w:t>
      </w:r>
    </w:p>
    <w:p w:rsidR="004C6C67" w:rsidRPr="00BB1DC8" w:rsidRDefault="00146F70" w:rsidP="004C6C67">
      <w:pPr>
        <w:ind w:firstLine="480"/>
      </w:pPr>
      <w:r w:rsidRPr="00BB1DC8">
        <w:rPr>
          <w:rFonts w:hint="eastAsia"/>
        </w:rPr>
        <w:t>加强该项目工程运行中对排水</w:t>
      </w:r>
      <w:r w:rsidR="004C6C67" w:rsidRPr="00BB1DC8">
        <w:rPr>
          <w:rFonts w:hint="eastAsia"/>
        </w:rPr>
        <w:t>管</w:t>
      </w:r>
      <w:r w:rsidRPr="00BB1DC8">
        <w:rPr>
          <w:rFonts w:hint="eastAsia"/>
          <w:spacing w:val="-3"/>
        </w:rPr>
        <w:t>的维修养护工作，确保排水畅通</w:t>
      </w:r>
      <w:r w:rsidR="00112395" w:rsidRPr="00BB1DC8">
        <w:rPr>
          <w:rFonts w:hint="eastAsia"/>
          <w:spacing w:val="-3"/>
        </w:rPr>
        <w:t>；</w:t>
      </w:r>
      <w:r w:rsidR="004C6C67" w:rsidRPr="00BB1DC8">
        <w:rPr>
          <w:rFonts w:hint="eastAsia"/>
        </w:rPr>
        <w:t>加强绿化养护，</w:t>
      </w:r>
      <w:r w:rsidR="00112395" w:rsidRPr="00BB1DC8">
        <w:rPr>
          <w:rFonts w:hint="eastAsia"/>
        </w:rPr>
        <w:t>对枯死的</w:t>
      </w:r>
      <w:proofErr w:type="gramStart"/>
      <w:r w:rsidR="00112395" w:rsidRPr="00BB1DC8">
        <w:rPr>
          <w:rFonts w:hint="eastAsia"/>
        </w:rPr>
        <w:t>树</w:t>
      </w:r>
      <w:r w:rsidR="004C6C67" w:rsidRPr="00BB1DC8">
        <w:rPr>
          <w:rFonts w:hint="eastAsia"/>
        </w:rPr>
        <w:t>及时</w:t>
      </w:r>
      <w:proofErr w:type="gramEnd"/>
      <w:r w:rsidR="004C6C67" w:rsidRPr="00BB1DC8">
        <w:rPr>
          <w:rFonts w:hint="eastAsia"/>
        </w:rPr>
        <w:t>补植。</w:t>
      </w:r>
    </w:p>
    <w:p w:rsidR="00827AA4" w:rsidRPr="00BB1DC8" w:rsidRDefault="00827AA4">
      <w:pPr>
        <w:widowControl/>
        <w:ind w:firstLineChars="0" w:firstLine="0"/>
        <w:jc w:val="left"/>
        <w:rPr>
          <w:b/>
          <w:sz w:val="30"/>
        </w:rPr>
      </w:pPr>
      <w:r w:rsidRPr="00BB1DC8">
        <w:br w:type="page"/>
      </w:r>
    </w:p>
    <w:p w:rsidR="00146F70" w:rsidRPr="00BB1DC8" w:rsidRDefault="00146F70" w:rsidP="00146F70">
      <w:pPr>
        <w:pStyle w:val="3"/>
      </w:pPr>
      <w:r w:rsidRPr="00BB1DC8">
        <w:rPr>
          <w:rFonts w:hint="eastAsia"/>
        </w:rPr>
        <w:lastRenderedPageBreak/>
        <w:t>三、验收组成员签字表</w:t>
      </w:r>
      <w:bookmarkStart w:id="3" w:name="_GoBack"/>
      <w:bookmarkEnd w:id="3"/>
    </w:p>
    <w:p w:rsidR="000C0C17" w:rsidRPr="00BB1DC8" w:rsidRDefault="00B26C7C">
      <w:pPr>
        <w:widowControl/>
        <w:ind w:firstLineChars="0" w:firstLine="0"/>
        <w:jc w:val="left"/>
      </w:pPr>
      <w:r>
        <w:rPr>
          <w:noProof/>
        </w:rPr>
        <w:drawing>
          <wp:inline distT="0" distB="0" distL="0" distR="0">
            <wp:extent cx="5473438" cy="7030528"/>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472430" cy="7029233"/>
                    </a:xfrm>
                    <a:prstGeom prst="rect">
                      <a:avLst/>
                    </a:prstGeom>
                    <a:noFill/>
                    <a:ln w="9525">
                      <a:noFill/>
                      <a:miter lim="800000"/>
                      <a:headEnd/>
                      <a:tailEnd/>
                    </a:ln>
                  </pic:spPr>
                </pic:pic>
              </a:graphicData>
            </a:graphic>
          </wp:inline>
        </w:drawing>
      </w:r>
      <w:r w:rsidR="000C0C17" w:rsidRPr="00BB1DC8">
        <w:br w:type="page"/>
      </w:r>
    </w:p>
    <w:p w:rsidR="00146F70" w:rsidRPr="00BB1DC8" w:rsidRDefault="00146F70" w:rsidP="005F57C7">
      <w:pPr>
        <w:pStyle w:val="3"/>
        <w:rPr>
          <w:sz w:val="32"/>
          <w:szCs w:val="32"/>
        </w:rPr>
      </w:pPr>
      <w:r w:rsidRPr="00BB1DC8">
        <w:rPr>
          <w:rFonts w:hint="eastAsia"/>
        </w:rPr>
        <w:lastRenderedPageBreak/>
        <w:t>附件：</w:t>
      </w:r>
    </w:p>
    <w:p w:rsidR="00146F70" w:rsidRDefault="00146F70" w:rsidP="001C47CB">
      <w:pPr>
        <w:ind w:firstLine="482"/>
      </w:pPr>
      <w:r w:rsidRPr="00BB1DC8">
        <w:rPr>
          <w:rFonts w:hint="eastAsia"/>
          <w:b/>
          <w:bCs/>
        </w:rPr>
        <w:t>附件</w:t>
      </w:r>
      <w:r w:rsidRPr="00BB1DC8">
        <w:rPr>
          <w:rFonts w:hint="eastAsia"/>
          <w:b/>
          <w:bCs/>
        </w:rPr>
        <w:t>1</w:t>
      </w:r>
      <w:r w:rsidRPr="00BB1DC8">
        <w:rPr>
          <w:rFonts w:hint="eastAsia"/>
          <w:b/>
          <w:bCs/>
        </w:rPr>
        <w:t>：</w:t>
      </w:r>
      <w:r w:rsidR="00B26C7C">
        <w:rPr>
          <w:rFonts w:hint="eastAsia"/>
        </w:rPr>
        <w:t>四川中翼机电科技有限</w:t>
      </w:r>
      <w:r w:rsidR="005F57C7" w:rsidRPr="00BB1DC8">
        <w:rPr>
          <w:rFonts w:hint="eastAsia"/>
        </w:rPr>
        <w:t>公司</w:t>
      </w:r>
      <w:proofErr w:type="gramStart"/>
      <w:r w:rsidRPr="00BB1DC8">
        <w:rPr>
          <w:rFonts w:hint="eastAsia"/>
        </w:rPr>
        <w:t>《</w:t>
      </w:r>
      <w:proofErr w:type="gramEnd"/>
      <w:r w:rsidRPr="00BB1DC8">
        <w:rPr>
          <w:rFonts w:hint="eastAsia"/>
        </w:rPr>
        <w:t>关于</w:t>
      </w:r>
      <w:r w:rsidR="00B26C7C">
        <w:rPr>
          <w:rFonts w:hint="eastAsia"/>
        </w:rPr>
        <w:t>电子式电力互感器</w:t>
      </w:r>
      <w:r w:rsidR="005F57C7" w:rsidRPr="00BB1DC8">
        <w:rPr>
          <w:rFonts w:hint="eastAsia"/>
        </w:rPr>
        <w:t>项目</w:t>
      </w:r>
      <w:proofErr w:type="gramStart"/>
      <w:r w:rsidRPr="00BB1DC8">
        <w:rPr>
          <w:rFonts w:hint="eastAsia"/>
        </w:rPr>
        <w:t>《</w:t>
      </w:r>
      <w:proofErr w:type="gramEnd"/>
      <w:r w:rsidRPr="00BB1DC8">
        <w:rPr>
          <w:rFonts w:hint="eastAsia"/>
        </w:rPr>
        <w:t>水土保持设施验收鉴定书</w:t>
      </w:r>
      <w:proofErr w:type="gramStart"/>
      <w:r w:rsidRPr="00BB1DC8">
        <w:rPr>
          <w:rFonts w:hint="eastAsia"/>
        </w:rPr>
        <w:t>》</w:t>
      </w:r>
      <w:proofErr w:type="gramEnd"/>
      <w:r w:rsidRPr="00BB1DC8">
        <w:rPr>
          <w:rFonts w:hint="eastAsia"/>
        </w:rPr>
        <w:t>、《水土保持设施验收报告》网上公示情况的说明</w:t>
      </w:r>
      <w:proofErr w:type="gramStart"/>
      <w:r w:rsidRPr="00BB1DC8">
        <w:rPr>
          <w:rFonts w:hint="eastAsia"/>
        </w:rPr>
        <w:t>》</w:t>
      </w:r>
      <w:proofErr w:type="gramEnd"/>
      <w:r w:rsidRPr="00BB1DC8">
        <w:rPr>
          <w:rFonts w:hint="eastAsia"/>
        </w:rPr>
        <w:t>。</w:t>
      </w:r>
    </w:p>
    <w:p w:rsidR="00881965" w:rsidRDefault="00881965">
      <w:pPr>
        <w:widowControl/>
        <w:ind w:firstLineChars="0" w:firstLine="0"/>
        <w:jc w:val="left"/>
      </w:pPr>
      <w:r>
        <w:br w:type="page"/>
      </w:r>
    </w:p>
    <w:p w:rsidR="00881965" w:rsidRDefault="00881965" w:rsidP="001C47CB">
      <w:pPr>
        <w:ind w:firstLine="480"/>
      </w:pPr>
      <w:r>
        <w:rPr>
          <w:rFonts w:hint="eastAsia"/>
        </w:rPr>
        <w:lastRenderedPageBreak/>
        <w:t>附件</w:t>
      </w:r>
      <w:r>
        <w:rPr>
          <w:rFonts w:hint="eastAsia"/>
        </w:rPr>
        <w:t>1</w:t>
      </w:r>
    </w:p>
    <w:p w:rsidR="00881965" w:rsidRPr="00BB1DC8" w:rsidRDefault="00881965" w:rsidP="001C47CB">
      <w:pPr>
        <w:ind w:firstLine="480"/>
      </w:pPr>
    </w:p>
    <w:p w:rsidR="00146F70" w:rsidRPr="00BB1DC8" w:rsidRDefault="00146F70" w:rsidP="003723B7">
      <w:pPr>
        <w:ind w:firstLine="480"/>
      </w:pPr>
    </w:p>
    <w:p w:rsidR="00CB24D6" w:rsidRPr="00BB1DC8" w:rsidRDefault="00CB24D6" w:rsidP="00827AA4">
      <w:pPr>
        <w:ind w:firstLineChars="0" w:firstLine="0"/>
      </w:pPr>
    </w:p>
    <w:sectPr w:rsidR="00CB24D6" w:rsidRPr="00BB1DC8" w:rsidSect="0072271B">
      <w:headerReference w:type="even" r:id="rId15"/>
      <w:headerReference w:type="default" r:id="rId16"/>
      <w:footerReference w:type="even" r:id="rId17"/>
      <w:footerReference w:type="default" r:id="rId18"/>
      <w:headerReference w:type="first" r:id="rId19"/>
      <w:footerReference w:type="first" r:id="rId20"/>
      <w:pgSz w:w="11906" w:h="16838"/>
      <w:pgMar w:top="1418" w:right="1644" w:bottom="1418" w:left="1644" w:header="794" w:footer="907" w:gutter="0"/>
      <w:cols w:space="425"/>
      <w:docGrid w:type="lines"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B24" w:rsidRDefault="00307B24" w:rsidP="00867A1E">
      <w:pPr>
        <w:ind w:firstLine="480"/>
      </w:pPr>
      <w:r>
        <w:separator/>
      </w:r>
    </w:p>
  </w:endnote>
  <w:endnote w:type="continuationSeparator" w:id="0">
    <w:p w:rsidR="00307B24" w:rsidRDefault="00307B24" w:rsidP="00867A1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楷体">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23" w:rsidRDefault="009F5A23">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23" w:rsidRDefault="009F5A23">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23" w:rsidRDefault="009F5A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B24" w:rsidRDefault="00307B24" w:rsidP="00867A1E">
      <w:pPr>
        <w:ind w:firstLine="480"/>
      </w:pPr>
      <w:r>
        <w:separator/>
      </w:r>
    </w:p>
  </w:footnote>
  <w:footnote w:type="continuationSeparator" w:id="0">
    <w:p w:rsidR="00307B24" w:rsidRDefault="00307B24" w:rsidP="00867A1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rsidP="0096382A">
    <w:pPr>
      <w:pStyle w:val="a8"/>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F70" w:rsidRDefault="00146F7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23" w:rsidRDefault="009F5A23">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B7" w:rsidRDefault="00F26EB7" w:rsidP="009F5A23">
    <w:pPr>
      <w:pStyle w:val="a8"/>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23" w:rsidRDefault="009F5A2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6AB6"/>
    <w:multiLevelType w:val="singleLevel"/>
    <w:tmpl w:val="15F06AB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efaultTableStyle w:val="af"/>
  <w:drawingGridHorizontalSpacing w:val="120"/>
  <w:drawingGridVerticalSpacing w:val="191"/>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5D4C"/>
    <w:rsid w:val="00000C17"/>
    <w:rsid w:val="00025A73"/>
    <w:rsid w:val="00027908"/>
    <w:rsid w:val="00034E48"/>
    <w:rsid w:val="0003642A"/>
    <w:rsid w:val="000458A5"/>
    <w:rsid w:val="000643A8"/>
    <w:rsid w:val="00073D2D"/>
    <w:rsid w:val="00076449"/>
    <w:rsid w:val="00086139"/>
    <w:rsid w:val="000B29E8"/>
    <w:rsid w:val="000B4F10"/>
    <w:rsid w:val="000C0C17"/>
    <w:rsid w:val="000C1C7D"/>
    <w:rsid w:val="000C311C"/>
    <w:rsid w:val="000C5056"/>
    <w:rsid w:val="000E3C93"/>
    <w:rsid w:val="000F24ED"/>
    <w:rsid w:val="00103CDC"/>
    <w:rsid w:val="001067A0"/>
    <w:rsid w:val="0011089D"/>
    <w:rsid w:val="00112395"/>
    <w:rsid w:val="0012259D"/>
    <w:rsid w:val="0012392E"/>
    <w:rsid w:val="001310E2"/>
    <w:rsid w:val="00134014"/>
    <w:rsid w:val="00135555"/>
    <w:rsid w:val="00146F70"/>
    <w:rsid w:val="00156AB5"/>
    <w:rsid w:val="00156CFB"/>
    <w:rsid w:val="00174FAA"/>
    <w:rsid w:val="00176675"/>
    <w:rsid w:val="001A4DBA"/>
    <w:rsid w:val="001A58AA"/>
    <w:rsid w:val="001A6F1F"/>
    <w:rsid w:val="001C47CB"/>
    <w:rsid w:val="001D0E89"/>
    <w:rsid w:val="001D121A"/>
    <w:rsid w:val="001D1A5B"/>
    <w:rsid w:val="001D78DF"/>
    <w:rsid w:val="001E1BAA"/>
    <w:rsid w:val="001F1742"/>
    <w:rsid w:val="001F44B3"/>
    <w:rsid w:val="001F7449"/>
    <w:rsid w:val="00207768"/>
    <w:rsid w:val="00216923"/>
    <w:rsid w:val="002214C2"/>
    <w:rsid w:val="00225FB0"/>
    <w:rsid w:val="00231BEC"/>
    <w:rsid w:val="00243533"/>
    <w:rsid w:val="00281636"/>
    <w:rsid w:val="00281BD6"/>
    <w:rsid w:val="00291858"/>
    <w:rsid w:val="00296191"/>
    <w:rsid w:val="002A73B8"/>
    <w:rsid w:val="002B04B9"/>
    <w:rsid w:val="002B77EA"/>
    <w:rsid w:val="002C14B4"/>
    <w:rsid w:val="002C4F7E"/>
    <w:rsid w:val="002E498B"/>
    <w:rsid w:val="002E6791"/>
    <w:rsid w:val="00301009"/>
    <w:rsid w:val="00307B24"/>
    <w:rsid w:val="00326203"/>
    <w:rsid w:val="00330027"/>
    <w:rsid w:val="00336D25"/>
    <w:rsid w:val="00341489"/>
    <w:rsid w:val="00343D89"/>
    <w:rsid w:val="003723B7"/>
    <w:rsid w:val="0037697C"/>
    <w:rsid w:val="003855A4"/>
    <w:rsid w:val="0039732A"/>
    <w:rsid w:val="003A38CE"/>
    <w:rsid w:val="003A6278"/>
    <w:rsid w:val="003A7DD2"/>
    <w:rsid w:val="003C07DB"/>
    <w:rsid w:val="003C1265"/>
    <w:rsid w:val="003E4C89"/>
    <w:rsid w:val="0041424D"/>
    <w:rsid w:val="00415EA6"/>
    <w:rsid w:val="00435D4C"/>
    <w:rsid w:val="004540DE"/>
    <w:rsid w:val="004765B5"/>
    <w:rsid w:val="00481C1D"/>
    <w:rsid w:val="004830F3"/>
    <w:rsid w:val="00490116"/>
    <w:rsid w:val="00492364"/>
    <w:rsid w:val="00492FF7"/>
    <w:rsid w:val="00494C22"/>
    <w:rsid w:val="00494FD5"/>
    <w:rsid w:val="004B48C2"/>
    <w:rsid w:val="004B5A37"/>
    <w:rsid w:val="004C6C67"/>
    <w:rsid w:val="004D1317"/>
    <w:rsid w:val="004D632F"/>
    <w:rsid w:val="004E362F"/>
    <w:rsid w:val="004E71E3"/>
    <w:rsid w:val="00511420"/>
    <w:rsid w:val="0052418A"/>
    <w:rsid w:val="00533AB9"/>
    <w:rsid w:val="005402AD"/>
    <w:rsid w:val="00542781"/>
    <w:rsid w:val="005505DA"/>
    <w:rsid w:val="00574185"/>
    <w:rsid w:val="00576DB2"/>
    <w:rsid w:val="00580728"/>
    <w:rsid w:val="00580D1D"/>
    <w:rsid w:val="005850AC"/>
    <w:rsid w:val="00587D1E"/>
    <w:rsid w:val="00594DF9"/>
    <w:rsid w:val="0059700E"/>
    <w:rsid w:val="005A5799"/>
    <w:rsid w:val="005B68EA"/>
    <w:rsid w:val="005C44B6"/>
    <w:rsid w:val="005F57C7"/>
    <w:rsid w:val="00600ECE"/>
    <w:rsid w:val="00612DB6"/>
    <w:rsid w:val="006166AE"/>
    <w:rsid w:val="006262E4"/>
    <w:rsid w:val="006408ED"/>
    <w:rsid w:val="00644910"/>
    <w:rsid w:val="00671B66"/>
    <w:rsid w:val="006771A6"/>
    <w:rsid w:val="0068237B"/>
    <w:rsid w:val="006A0048"/>
    <w:rsid w:val="006A7D26"/>
    <w:rsid w:val="006B55A6"/>
    <w:rsid w:val="006C0CFB"/>
    <w:rsid w:val="006C19CF"/>
    <w:rsid w:val="006D3C30"/>
    <w:rsid w:val="006D472E"/>
    <w:rsid w:val="006E5729"/>
    <w:rsid w:val="006E5CD0"/>
    <w:rsid w:val="006F3B4C"/>
    <w:rsid w:val="006F3BEC"/>
    <w:rsid w:val="006F74C0"/>
    <w:rsid w:val="00717128"/>
    <w:rsid w:val="0072271B"/>
    <w:rsid w:val="00726639"/>
    <w:rsid w:val="00730873"/>
    <w:rsid w:val="00731AB5"/>
    <w:rsid w:val="00733838"/>
    <w:rsid w:val="00733FD0"/>
    <w:rsid w:val="0073434D"/>
    <w:rsid w:val="007479BD"/>
    <w:rsid w:val="00751FFA"/>
    <w:rsid w:val="0075293A"/>
    <w:rsid w:val="0076258B"/>
    <w:rsid w:val="00764D72"/>
    <w:rsid w:val="007724C5"/>
    <w:rsid w:val="00787450"/>
    <w:rsid w:val="007A3B7B"/>
    <w:rsid w:val="007C035D"/>
    <w:rsid w:val="007C2E4F"/>
    <w:rsid w:val="007D4363"/>
    <w:rsid w:val="007F3DB3"/>
    <w:rsid w:val="007F6483"/>
    <w:rsid w:val="0080060F"/>
    <w:rsid w:val="00810BCA"/>
    <w:rsid w:val="008166B4"/>
    <w:rsid w:val="0081781A"/>
    <w:rsid w:val="00824BBB"/>
    <w:rsid w:val="00827AA4"/>
    <w:rsid w:val="00857D3F"/>
    <w:rsid w:val="00867A1E"/>
    <w:rsid w:val="00870828"/>
    <w:rsid w:val="00870A15"/>
    <w:rsid w:val="00875A81"/>
    <w:rsid w:val="008764C6"/>
    <w:rsid w:val="00881965"/>
    <w:rsid w:val="008A3A84"/>
    <w:rsid w:val="008B2643"/>
    <w:rsid w:val="008B3883"/>
    <w:rsid w:val="008C1CAC"/>
    <w:rsid w:val="008C2192"/>
    <w:rsid w:val="008C2206"/>
    <w:rsid w:val="008C3DDC"/>
    <w:rsid w:val="008C6071"/>
    <w:rsid w:val="008D009F"/>
    <w:rsid w:val="008D3149"/>
    <w:rsid w:val="008D689E"/>
    <w:rsid w:val="008E29AF"/>
    <w:rsid w:val="00902A20"/>
    <w:rsid w:val="00915F3A"/>
    <w:rsid w:val="00941D3A"/>
    <w:rsid w:val="009427D3"/>
    <w:rsid w:val="00961703"/>
    <w:rsid w:val="0096382A"/>
    <w:rsid w:val="009734C5"/>
    <w:rsid w:val="00974CF2"/>
    <w:rsid w:val="00995FDB"/>
    <w:rsid w:val="009A40E1"/>
    <w:rsid w:val="009A4B28"/>
    <w:rsid w:val="009A6A83"/>
    <w:rsid w:val="009B0792"/>
    <w:rsid w:val="009B4C6A"/>
    <w:rsid w:val="009B4E41"/>
    <w:rsid w:val="009E3680"/>
    <w:rsid w:val="009F5A23"/>
    <w:rsid w:val="009F5B6B"/>
    <w:rsid w:val="009F78A1"/>
    <w:rsid w:val="00A0222D"/>
    <w:rsid w:val="00A023D7"/>
    <w:rsid w:val="00A17579"/>
    <w:rsid w:val="00A241E0"/>
    <w:rsid w:val="00A27EF8"/>
    <w:rsid w:val="00A332B9"/>
    <w:rsid w:val="00A34052"/>
    <w:rsid w:val="00A350C4"/>
    <w:rsid w:val="00A376F4"/>
    <w:rsid w:val="00A43215"/>
    <w:rsid w:val="00A711BC"/>
    <w:rsid w:val="00A73A0F"/>
    <w:rsid w:val="00A83A01"/>
    <w:rsid w:val="00A95061"/>
    <w:rsid w:val="00A96B36"/>
    <w:rsid w:val="00AB09D6"/>
    <w:rsid w:val="00AC395F"/>
    <w:rsid w:val="00AE0B09"/>
    <w:rsid w:val="00AE4646"/>
    <w:rsid w:val="00AF0ED0"/>
    <w:rsid w:val="00B00A8E"/>
    <w:rsid w:val="00B2667F"/>
    <w:rsid w:val="00B26C7C"/>
    <w:rsid w:val="00B3292C"/>
    <w:rsid w:val="00B70B17"/>
    <w:rsid w:val="00B73D25"/>
    <w:rsid w:val="00B825D4"/>
    <w:rsid w:val="00B83447"/>
    <w:rsid w:val="00B96EE2"/>
    <w:rsid w:val="00BA2FCA"/>
    <w:rsid w:val="00BB1DC8"/>
    <w:rsid w:val="00BC5002"/>
    <w:rsid w:val="00BE0454"/>
    <w:rsid w:val="00BE3559"/>
    <w:rsid w:val="00BE3D3F"/>
    <w:rsid w:val="00BE6B4F"/>
    <w:rsid w:val="00C04EB5"/>
    <w:rsid w:val="00C1054A"/>
    <w:rsid w:val="00C14E61"/>
    <w:rsid w:val="00C1743B"/>
    <w:rsid w:val="00C217C2"/>
    <w:rsid w:val="00C232CB"/>
    <w:rsid w:val="00C237F8"/>
    <w:rsid w:val="00C249DC"/>
    <w:rsid w:val="00C24BE5"/>
    <w:rsid w:val="00C26322"/>
    <w:rsid w:val="00C27446"/>
    <w:rsid w:val="00C359BD"/>
    <w:rsid w:val="00C35D06"/>
    <w:rsid w:val="00C4599D"/>
    <w:rsid w:val="00C74E2A"/>
    <w:rsid w:val="00C9412C"/>
    <w:rsid w:val="00C9775B"/>
    <w:rsid w:val="00CB07CD"/>
    <w:rsid w:val="00CB24D6"/>
    <w:rsid w:val="00CC1E4F"/>
    <w:rsid w:val="00CE0D2D"/>
    <w:rsid w:val="00D05CE6"/>
    <w:rsid w:val="00D10A8B"/>
    <w:rsid w:val="00D14A29"/>
    <w:rsid w:val="00D203F0"/>
    <w:rsid w:val="00D20B58"/>
    <w:rsid w:val="00D344FF"/>
    <w:rsid w:val="00D40C24"/>
    <w:rsid w:val="00D55AE5"/>
    <w:rsid w:val="00D672E9"/>
    <w:rsid w:val="00D7171C"/>
    <w:rsid w:val="00D96201"/>
    <w:rsid w:val="00D9719C"/>
    <w:rsid w:val="00DA4685"/>
    <w:rsid w:val="00DC0047"/>
    <w:rsid w:val="00DC47A7"/>
    <w:rsid w:val="00DD59C1"/>
    <w:rsid w:val="00DF12DA"/>
    <w:rsid w:val="00DF509E"/>
    <w:rsid w:val="00E37381"/>
    <w:rsid w:val="00E43351"/>
    <w:rsid w:val="00E478F4"/>
    <w:rsid w:val="00E54067"/>
    <w:rsid w:val="00E57525"/>
    <w:rsid w:val="00E64CDA"/>
    <w:rsid w:val="00E67F11"/>
    <w:rsid w:val="00E75EA8"/>
    <w:rsid w:val="00E825E6"/>
    <w:rsid w:val="00E9444A"/>
    <w:rsid w:val="00E97F0E"/>
    <w:rsid w:val="00EA4926"/>
    <w:rsid w:val="00EC7D31"/>
    <w:rsid w:val="00ED61A3"/>
    <w:rsid w:val="00EF6904"/>
    <w:rsid w:val="00F10878"/>
    <w:rsid w:val="00F2679B"/>
    <w:rsid w:val="00F26EB7"/>
    <w:rsid w:val="00F36575"/>
    <w:rsid w:val="00F37849"/>
    <w:rsid w:val="00F5315E"/>
    <w:rsid w:val="00F8324D"/>
    <w:rsid w:val="00F90B6A"/>
    <w:rsid w:val="00FA6578"/>
    <w:rsid w:val="00FA76C8"/>
    <w:rsid w:val="00FB7913"/>
    <w:rsid w:val="00FC3A99"/>
    <w:rsid w:val="00FC4CC9"/>
    <w:rsid w:val="00FF26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6D472E"/>
    <w:pPr>
      <w:widowControl w:val="0"/>
      <w:ind w:firstLineChars="200" w:firstLine="200"/>
      <w:jc w:val="both"/>
    </w:pPr>
    <w:rPr>
      <w:rFonts w:ascii="Times New Roman" w:eastAsia="仿宋_GB2312" w:hAnsi="Times New Roman" w:cs="Times New Roman"/>
      <w:sz w:val="24"/>
      <w:szCs w:val="28"/>
    </w:rPr>
  </w:style>
  <w:style w:type="paragraph" w:styleId="1">
    <w:name w:val="heading 1"/>
    <w:aliases w:val="一级标题"/>
    <w:basedOn w:val="a"/>
    <w:next w:val="a"/>
    <w:link w:val="1Char"/>
    <w:uiPriority w:val="9"/>
    <w:qFormat/>
    <w:rsid w:val="00C24BE5"/>
    <w:pPr>
      <w:ind w:firstLineChars="0" w:firstLine="0"/>
      <w:jc w:val="center"/>
      <w:outlineLvl w:val="0"/>
    </w:pPr>
    <w:rPr>
      <w:b/>
      <w:sz w:val="36"/>
    </w:rPr>
  </w:style>
  <w:style w:type="paragraph" w:styleId="2">
    <w:name w:val="heading 2"/>
    <w:aliases w:val="二级标题"/>
    <w:basedOn w:val="a"/>
    <w:next w:val="a"/>
    <w:link w:val="2Char"/>
    <w:uiPriority w:val="9"/>
    <w:unhideWhenUsed/>
    <w:qFormat/>
    <w:rsid w:val="00902A20"/>
    <w:pPr>
      <w:spacing w:line="560" w:lineRule="exact"/>
      <w:ind w:firstLineChars="0" w:firstLine="0"/>
      <w:outlineLvl w:val="1"/>
    </w:pPr>
    <w:rPr>
      <w:b/>
      <w:sz w:val="32"/>
    </w:rPr>
  </w:style>
  <w:style w:type="paragraph" w:styleId="3">
    <w:name w:val="heading 3"/>
    <w:aliases w:val="三级标题"/>
    <w:basedOn w:val="a"/>
    <w:next w:val="a"/>
    <w:link w:val="3Char"/>
    <w:uiPriority w:val="9"/>
    <w:unhideWhenUsed/>
    <w:qFormat/>
    <w:rsid w:val="00902A20"/>
    <w:pPr>
      <w:spacing w:line="520" w:lineRule="exact"/>
      <w:ind w:firstLineChars="0" w:firstLine="0"/>
      <w:outlineLvl w:val="2"/>
    </w:pPr>
    <w:rPr>
      <w:b/>
      <w:sz w:val="30"/>
    </w:rPr>
  </w:style>
  <w:style w:type="paragraph" w:styleId="4">
    <w:name w:val="heading 4"/>
    <w:aliases w:val="四级标题"/>
    <w:basedOn w:val="a"/>
    <w:next w:val="a"/>
    <w:link w:val="4Char"/>
    <w:uiPriority w:val="9"/>
    <w:unhideWhenUsed/>
    <w:qFormat/>
    <w:rsid w:val="00902A20"/>
    <w:pPr>
      <w:spacing w:line="480" w:lineRule="exact"/>
      <w:ind w:firstLineChars="0" w:firstLine="0"/>
      <w:outlineLvl w:val="3"/>
    </w:pPr>
    <w:rPr>
      <w:b/>
      <w:sz w:val="28"/>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一级标题 Char"/>
    <w:basedOn w:val="a0"/>
    <w:link w:val="1"/>
    <w:uiPriority w:val="9"/>
    <w:rsid w:val="00C24BE5"/>
    <w:rPr>
      <w:rFonts w:ascii="Times New Roman" w:eastAsia="宋体" w:hAnsi="Times New Roman" w:cs="Times New Roman"/>
      <w:b/>
      <w:sz w:val="36"/>
      <w:szCs w:val="28"/>
    </w:rPr>
  </w:style>
  <w:style w:type="character" w:customStyle="1" w:styleId="2Char">
    <w:name w:val="标题 2 Char"/>
    <w:aliases w:val="二级标题 Char"/>
    <w:basedOn w:val="a0"/>
    <w:link w:val="2"/>
    <w:uiPriority w:val="9"/>
    <w:rsid w:val="00902A20"/>
    <w:rPr>
      <w:rFonts w:ascii="Times New Roman" w:eastAsia="宋体" w:hAnsi="Times New Roman" w:cs="Times New Roman"/>
      <w:b/>
      <w:sz w:val="32"/>
      <w:szCs w:val="28"/>
    </w:rPr>
  </w:style>
  <w:style w:type="paragraph" w:styleId="a3">
    <w:name w:val="Title"/>
    <w:basedOn w:val="a"/>
    <w:next w:val="a"/>
    <w:link w:val="Char"/>
    <w:uiPriority w:val="10"/>
    <w:rsid w:val="00435D4C"/>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435D4C"/>
    <w:rPr>
      <w:rFonts w:asciiTheme="majorHAnsi" w:eastAsiaTheme="majorEastAsia" w:hAnsiTheme="majorHAnsi" w:cstheme="majorBidi"/>
      <w:b/>
      <w:bCs/>
      <w:sz w:val="32"/>
      <w:szCs w:val="32"/>
    </w:rPr>
  </w:style>
  <w:style w:type="paragraph" w:styleId="a4">
    <w:name w:val="Subtitle"/>
    <w:basedOn w:val="a"/>
    <w:next w:val="a"/>
    <w:link w:val="Char0"/>
    <w:uiPriority w:val="11"/>
    <w:rsid w:val="00435D4C"/>
    <w:pPr>
      <w:spacing w:before="240" w:after="60" w:line="312" w:lineRule="auto"/>
      <w:jc w:val="center"/>
      <w:outlineLvl w:val="1"/>
    </w:pPr>
    <w:rPr>
      <w:b/>
      <w:bCs/>
      <w:kern w:val="28"/>
      <w:sz w:val="32"/>
      <w:szCs w:val="32"/>
    </w:rPr>
  </w:style>
  <w:style w:type="character" w:customStyle="1" w:styleId="Char0">
    <w:name w:val="副标题 Char"/>
    <w:basedOn w:val="a0"/>
    <w:link w:val="a4"/>
    <w:uiPriority w:val="11"/>
    <w:rsid w:val="00435D4C"/>
    <w:rPr>
      <w:b/>
      <w:bCs/>
      <w:kern w:val="28"/>
      <w:sz w:val="32"/>
      <w:szCs w:val="32"/>
    </w:rPr>
  </w:style>
  <w:style w:type="character" w:customStyle="1" w:styleId="4Char">
    <w:name w:val="标题 4 Char"/>
    <w:aliases w:val="四级标题 Char"/>
    <w:basedOn w:val="a0"/>
    <w:link w:val="4"/>
    <w:uiPriority w:val="9"/>
    <w:rsid w:val="00902A20"/>
    <w:rPr>
      <w:rFonts w:ascii="Times New Roman" w:eastAsia="宋体" w:hAnsi="Times New Roman" w:cs="Times New Roman"/>
      <w:b/>
      <w:sz w:val="28"/>
      <w:szCs w:val="30"/>
    </w:rPr>
  </w:style>
  <w:style w:type="character" w:customStyle="1" w:styleId="3Char">
    <w:name w:val="标题 3 Char"/>
    <w:aliases w:val="三级标题 Char"/>
    <w:basedOn w:val="a0"/>
    <w:link w:val="3"/>
    <w:uiPriority w:val="9"/>
    <w:rsid w:val="00902A20"/>
    <w:rPr>
      <w:rFonts w:ascii="Times New Roman" w:eastAsia="宋体" w:hAnsi="Times New Roman" w:cs="Times New Roman"/>
      <w:b/>
      <w:sz w:val="30"/>
      <w:szCs w:val="28"/>
    </w:rPr>
  </w:style>
  <w:style w:type="character" w:customStyle="1" w:styleId="a5">
    <w:name w:val="希腊字母 字符"/>
    <w:basedOn w:val="a0"/>
    <w:link w:val="a6"/>
    <w:rsid w:val="009B0792"/>
    <w:rPr>
      <w:rFonts w:ascii="Cambria Math" w:eastAsia="Cambria" w:hAnsi="Cambria Math" w:cs="Times New Roman"/>
      <w:bCs/>
      <w:i/>
      <w:sz w:val="24"/>
      <w:szCs w:val="28"/>
    </w:rPr>
  </w:style>
  <w:style w:type="paragraph" w:customStyle="1" w:styleId="a6">
    <w:name w:val="希腊字母"/>
    <w:basedOn w:val="a"/>
    <w:next w:val="a"/>
    <w:link w:val="a5"/>
    <w:autoRedefine/>
    <w:qFormat/>
    <w:rsid w:val="009B0792"/>
    <w:pPr>
      <w:ind w:firstLineChars="0" w:firstLine="0"/>
      <w:jc w:val="center"/>
    </w:pPr>
    <w:rPr>
      <w:rFonts w:ascii="Cambria Math" w:eastAsia="Cambria" w:hAnsi="Cambria Math"/>
      <w:bCs/>
      <w:i/>
    </w:rPr>
  </w:style>
  <w:style w:type="paragraph" w:styleId="a7">
    <w:name w:val="No Spacing"/>
    <w:aliases w:val="表格文字"/>
    <w:basedOn w:val="a"/>
    <w:next w:val="a"/>
    <w:link w:val="Char1"/>
    <w:uiPriority w:val="1"/>
    <w:qFormat/>
    <w:rsid w:val="00867A1E"/>
    <w:pPr>
      <w:spacing w:line="240" w:lineRule="exact"/>
      <w:ind w:firstLineChars="0" w:firstLine="0"/>
      <w:jc w:val="center"/>
    </w:pPr>
    <w:rPr>
      <w:sz w:val="18"/>
    </w:rPr>
  </w:style>
  <w:style w:type="paragraph" w:styleId="a8">
    <w:name w:val="header"/>
    <w:basedOn w:val="a"/>
    <w:link w:val="Char2"/>
    <w:uiPriority w:val="99"/>
    <w:unhideWhenUsed/>
    <w:qFormat/>
    <w:rsid w:val="002A73B8"/>
    <w:pPr>
      <w:pBdr>
        <w:bottom w:val="single" w:sz="6" w:space="1" w:color="auto"/>
      </w:pBdr>
      <w:tabs>
        <w:tab w:val="center" w:pos="4153"/>
        <w:tab w:val="right" w:pos="8306"/>
      </w:tabs>
      <w:snapToGrid w:val="0"/>
      <w:spacing w:line="240" w:lineRule="atLeast"/>
      <w:ind w:firstLineChars="0" w:firstLine="0"/>
      <w:jc w:val="center"/>
    </w:pPr>
    <w:rPr>
      <w:sz w:val="18"/>
      <w:szCs w:val="18"/>
    </w:rPr>
  </w:style>
  <w:style w:type="character" w:customStyle="1" w:styleId="Char2">
    <w:name w:val="页眉 Char"/>
    <w:basedOn w:val="a0"/>
    <w:link w:val="a8"/>
    <w:uiPriority w:val="99"/>
    <w:rsid w:val="002A73B8"/>
    <w:rPr>
      <w:rFonts w:ascii="Times New Roman" w:eastAsia="仿宋_GB2312" w:hAnsi="Times New Roman" w:cs="Times New Roman"/>
      <w:sz w:val="18"/>
      <w:szCs w:val="18"/>
    </w:rPr>
  </w:style>
  <w:style w:type="paragraph" w:styleId="a9">
    <w:name w:val="footer"/>
    <w:basedOn w:val="a"/>
    <w:link w:val="Char3"/>
    <w:uiPriority w:val="99"/>
    <w:unhideWhenUsed/>
    <w:qFormat/>
    <w:rsid w:val="0003642A"/>
    <w:pPr>
      <w:tabs>
        <w:tab w:val="center" w:pos="4153"/>
        <w:tab w:val="right" w:pos="8306"/>
      </w:tabs>
      <w:snapToGrid w:val="0"/>
      <w:spacing w:line="240" w:lineRule="atLeast"/>
      <w:ind w:firstLineChars="0" w:firstLine="0"/>
      <w:jc w:val="left"/>
    </w:pPr>
    <w:rPr>
      <w:sz w:val="18"/>
      <w:szCs w:val="18"/>
    </w:rPr>
  </w:style>
  <w:style w:type="character" w:customStyle="1" w:styleId="Char3">
    <w:name w:val="页脚 Char"/>
    <w:basedOn w:val="a0"/>
    <w:link w:val="a9"/>
    <w:uiPriority w:val="99"/>
    <w:qFormat/>
    <w:rsid w:val="0003642A"/>
    <w:rPr>
      <w:rFonts w:ascii="Times New Roman" w:eastAsia="仿宋_GB2312" w:hAnsi="Times New Roman" w:cs="Times New Roman"/>
      <w:sz w:val="18"/>
      <w:szCs w:val="18"/>
    </w:rPr>
  </w:style>
  <w:style w:type="paragraph" w:customStyle="1" w:styleId="20">
    <w:name w:val="样式2"/>
    <w:basedOn w:val="3"/>
    <w:autoRedefine/>
    <w:rsid w:val="00435D4C"/>
    <w:pPr>
      <w:keepNext/>
      <w:keepLines/>
      <w:spacing w:line="360" w:lineRule="auto"/>
      <w:outlineLvl w:val="0"/>
    </w:pPr>
    <w:rPr>
      <w:b w:val="0"/>
      <w:bCs/>
    </w:rPr>
  </w:style>
  <w:style w:type="character" w:styleId="aa">
    <w:name w:val="Subtle Emphasis"/>
    <w:basedOn w:val="a0"/>
    <w:uiPriority w:val="19"/>
    <w:rsid w:val="00870828"/>
    <w:rPr>
      <w:i/>
      <w:iCs/>
      <w:color w:val="404040" w:themeColor="text1" w:themeTint="BF"/>
    </w:rPr>
  </w:style>
  <w:style w:type="character" w:customStyle="1" w:styleId="Char1">
    <w:name w:val="无间隔 Char"/>
    <w:aliases w:val="表格文字 Char"/>
    <w:basedOn w:val="a0"/>
    <w:link w:val="a7"/>
    <w:uiPriority w:val="1"/>
    <w:rsid w:val="00867A1E"/>
    <w:rPr>
      <w:rFonts w:ascii="Times New Roman" w:eastAsia="宋体" w:hAnsi="Times New Roman" w:cs="Times New Roman"/>
      <w:sz w:val="18"/>
      <w:szCs w:val="28"/>
    </w:rPr>
  </w:style>
  <w:style w:type="table" w:styleId="ab">
    <w:name w:val="Table Grid"/>
    <w:basedOn w:val="a1"/>
    <w:uiPriority w:val="59"/>
    <w:unhideWhenUsed/>
    <w:qFormat/>
    <w:rsid w:val="00867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网格型浅色1"/>
    <w:basedOn w:val="a1"/>
    <w:uiPriority w:val="40"/>
    <w:rsid w:val="001D121A"/>
    <w:pPr>
      <w:jc w:val="center"/>
    </w:pPr>
    <w:rPr>
      <w:rFonts w:eastAsia="宋体"/>
      <w:sz w:val="18"/>
    </w:rPr>
    <w:tblPr>
      <w:jc w:val="center"/>
      <w:tblInd w:w="0" w:type="dxa"/>
      <w:tblBorders>
        <w:top w:val="single" w:sz="12" w:space="0" w:color="auto"/>
        <w:bottom w:val="single" w:sz="12" w:space="0" w:color="auto"/>
      </w:tblBorders>
      <w:tblCellMar>
        <w:top w:w="0" w:type="dxa"/>
        <w:left w:w="0" w:type="dxa"/>
        <w:bottom w:w="0" w:type="dxa"/>
        <w:right w:w="0" w:type="dxa"/>
      </w:tblCellMar>
    </w:tblPr>
    <w:trPr>
      <w:jc w:val="center"/>
    </w:trPr>
    <w:tcPr>
      <w:vAlign w:val="center"/>
    </w:tcPr>
    <w:tblStylePr w:type="firstRow">
      <w:tblPr/>
      <w:tcPr>
        <w:tcBorders>
          <w:top w:val="single" w:sz="12" w:space="0" w:color="auto"/>
          <w:left w:val="nil"/>
          <w:bottom w:val="single" w:sz="8" w:space="0" w:color="auto"/>
          <w:right w:val="nil"/>
          <w:insideH w:val="nil"/>
          <w:insideV w:val="nil"/>
          <w:tl2br w:val="nil"/>
          <w:tr2bl w:val="nil"/>
        </w:tcBorders>
      </w:tcPr>
    </w:tblStylePr>
  </w:style>
  <w:style w:type="table" w:customStyle="1" w:styleId="ac">
    <w:name w:val="三线表"/>
    <w:basedOn w:val="a1"/>
    <w:uiPriority w:val="99"/>
    <w:rsid w:val="006F3BEC"/>
    <w:pPr>
      <w:spacing w:line="240" w:lineRule="atLeast"/>
      <w:jc w:val="center"/>
    </w:pPr>
    <w:rPr>
      <w:rFonts w:ascii="Times New Roman" w:eastAsia="宋体" w:hAnsi="Times New Roman"/>
      <w:sz w:val="18"/>
    </w:rPr>
    <w:tblPr>
      <w:tblInd w:w="0" w:type="dxa"/>
      <w:tblBorders>
        <w:top w:val="single" w:sz="12" w:space="0" w:color="auto"/>
        <w:bottom w:val="single" w:sz="12" w:space="0" w:color="auto"/>
        <w:insideH w:val="single" w:sz="8" w:space="0" w:color="auto"/>
        <w:insideV w:val="single" w:sz="8" w:space="0" w:color="auto"/>
      </w:tblBorders>
      <w:tblCellMar>
        <w:top w:w="0" w:type="dxa"/>
        <w:left w:w="0" w:type="dxa"/>
        <w:bottom w:w="0" w:type="dxa"/>
        <w:right w:w="0" w:type="dxa"/>
      </w:tblCellMar>
    </w:tblPr>
    <w:tcPr>
      <w:vAlign w:val="center"/>
    </w:tcPr>
    <w:tblStylePr w:type="firstRow">
      <w:pPr>
        <w:jc w:val="center"/>
      </w:pPr>
      <w:rPr>
        <w:rFonts w:ascii="Times New Roman" w:eastAsia="宋体" w:hAnsi="Times New Roman"/>
        <w:b w:val="0"/>
        <w:i w:val="0"/>
        <w:caps w:val="0"/>
        <w:smallCaps w:val="0"/>
        <w:strike w:val="0"/>
        <w:dstrike w:val="0"/>
        <w:vanish w:val="0"/>
        <w:color w:val="auto"/>
        <w:sz w:val="18"/>
        <w:u w:val="none"/>
        <w:vertAlign w:val="baseline"/>
        <w:em w:val="none"/>
      </w:rPr>
      <w:tblPr/>
      <w:tcPr>
        <w:tcBorders>
          <w:top w:val="single" w:sz="12" w:space="0" w:color="auto"/>
          <w:left w:val="nil"/>
          <w:bottom w:val="single" w:sz="12" w:space="0" w:color="auto"/>
          <w:right w:val="nil"/>
          <w:insideH w:val="single" w:sz="4" w:space="0" w:color="auto"/>
          <w:insideV w:val="single" w:sz="8" w:space="0" w:color="auto"/>
          <w:tl2br w:val="nil"/>
          <w:tr2bl w:val="nil"/>
        </w:tcBorders>
      </w:tcPr>
    </w:tblStylePr>
  </w:style>
  <w:style w:type="paragraph" w:customStyle="1" w:styleId="ad">
    <w:name w:val="图表名称"/>
    <w:basedOn w:val="a"/>
    <w:next w:val="a"/>
    <w:link w:val="ae"/>
    <w:qFormat/>
    <w:rsid w:val="00902A20"/>
    <w:pPr>
      <w:spacing w:beforeLines="50"/>
      <w:ind w:firstLineChars="0" w:firstLine="0"/>
      <w:jc w:val="center"/>
    </w:pPr>
    <w:rPr>
      <w:b/>
    </w:rPr>
  </w:style>
  <w:style w:type="character" w:customStyle="1" w:styleId="ae">
    <w:name w:val="图表名称 字符"/>
    <w:basedOn w:val="1Char"/>
    <w:link w:val="ad"/>
    <w:rsid w:val="00902A20"/>
    <w:rPr>
      <w:rFonts w:ascii="Times New Roman" w:eastAsia="宋体" w:hAnsi="Times New Roman" w:cs="Times New Roman"/>
      <w:b/>
      <w:sz w:val="24"/>
      <w:szCs w:val="28"/>
    </w:rPr>
  </w:style>
  <w:style w:type="table" w:customStyle="1" w:styleId="af">
    <w:name w:val="标准表"/>
    <w:basedOn w:val="a1"/>
    <w:uiPriority w:val="99"/>
    <w:rsid w:val="009A40E1"/>
    <w:pPr>
      <w:spacing w:line="240" w:lineRule="atLeast"/>
      <w:jc w:val="center"/>
    </w:pPr>
    <w:rPr>
      <w:rFonts w:ascii="Times New Roman" w:eastAsia="宋体" w:hAnsi="Times New Roman"/>
      <w:sz w:val="18"/>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cPr>
      <w:vAlign w:val="center"/>
    </w:tcPr>
  </w:style>
  <w:style w:type="table" w:customStyle="1" w:styleId="11">
    <w:name w:val="无格式表格 11"/>
    <w:basedOn w:val="a1"/>
    <w:uiPriority w:val="41"/>
    <w:rsid w:val="006F3BE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样式1"/>
    <w:basedOn w:val="a1"/>
    <w:uiPriority w:val="99"/>
    <w:rsid w:val="00C24BE5"/>
    <w:pPr>
      <w:spacing w:line="240" w:lineRule="atLeast"/>
    </w:pPr>
    <w:rPr>
      <w:rFonts w:ascii="Times New Roman" w:eastAsia="宋体" w:hAnsi="Times New Roman"/>
      <w:sz w:val="18"/>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0" w:type="dxa"/>
        <w:bottom w:w="0" w:type="dxa"/>
        <w:right w:w="0" w:type="dxa"/>
      </w:tblCellMar>
    </w:tblPr>
  </w:style>
  <w:style w:type="paragraph" w:styleId="TOC">
    <w:name w:val="TOC Heading"/>
    <w:basedOn w:val="1"/>
    <w:next w:val="a"/>
    <w:uiPriority w:val="39"/>
    <w:unhideWhenUsed/>
    <w:rsid w:val="00DA4685"/>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A4685"/>
    <w:pPr>
      <w:tabs>
        <w:tab w:val="right" w:leader="dot" w:pos="8608"/>
      </w:tabs>
      <w:ind w:firstLine="480"/>
    </w:pPr>
    <w:rPr>
      <w:b/>
      <w:noProof/>
    </w:rPr>
  </w:style>
  <w:style w:type="paragraph" w:styleId="21">
    <w:name w:val="toc 2"/>
    <w:basedOn w:val="a"/>
    <w:next w:val="a"/>
    <w:autoRedefine/>
    <w:uiPriority w:val="39"/>
    <w:unhideWhenUsed/>
    <w:rsid w:val="00DA4685"/>
    <w:pPr>
      <w:tabs>
        <w:tab w:val="right" w:leader="dot" w:pos="8608"/>
      </w:tabs>
      <w:spacing w:line="360" w:lineRule="exact"/>
      <w:ind w:leftChars="200" w:left="480" w:firstLineChars="100" w:firstLine="240"/>
    </w:pPr>
  </w:style>
  <w:style w:type="character" w:styleId="af0">
    <w:name w:val="Hyperlink"/>
    <w:basedOn w:val="a0"/>
    <w:uiPriority w:val="99"/>
    <w:unhideWhenUsed/>
    <w:rsid w:val="00DA4685"/>
    <w:rPr>
      <w:color w:val="0000FF" w:themeColor="hyperlink"/>
      <w:u w:val="single"/>
    </w:rPr>
  </w:style>
  <w:style w:type="paragraph" w:styleId="af1">
    <w:name w:val="List Paragraph"/>
    <w:basedOn w:val="a"/>
    <w:uiPriority w:val="34"/>
    <w:rsid w:val="002214C2"/>
    <w:pPr>
      <w:ind w:firstLine="420"/>
    </w:pPr>
  </w:style>
  <w:style w:type="paragraph" w:styleId="af2">
    <w:name w:val="Body Text"/>
    <w:basedOn w:val="a"/>
    <w:link w:val="Char4"/>
    <w:uiPriority w:val="99"/>
    <w:semiHidden/>
    <w:unhideWhenUsed/>
    <w:rsid w:val="0003642A"/>
    <w:pPr>
      <w:spacing w:after="120"/>
    </w:pPr>
  </w:style>
  <w:style w:type="character" w:customStyle="1" w:styleId="Char4">
    <w:name w:val="正文文本 Char"/>
    <w:basedOn w:val="a0"/>
    <w:link w:val="af2"/>
    <w:uiPriority w:val="99"/>
    <w:semiHidden/>
    <w:rsid w:val="0003642A"/>
    <w:rPr>
      <w:rFonts w:ascii="Times New Roman" w:eastAsia="仿宋_GB2312" w:hAnsi="Times New Roman" w:cs="Times New Roman"/>
      <w:sz w:val="24"/>
      <w:szCs w:val="28"/>
    </w:rPr>
  </w:style>
  <w:style w:type="paragraph" w:styleId="af3">
    <w:name w:val="Body Text First Indent"/>
    <w:basedOn w:val="af2"/>
    <w:link w:val="Char5"/>
    <w:uiPriority w:val="99"/>
    <w:unhideWhenUsed/>
    <w:rsid w:val="0003642A"/>
    <w:pPr>
      <w:spacing w:line="440" w:lineRule="exact"/>
      <w:ind w:firstLineChars="100" w:firstLine="420"/>
    </w:pPr>
    <w:rPr>
      <w:rFonts w:eastAsia="宋体"/>
    </w:rPr>
  </w:style>
  <w:style w:type="character" w:customStyle="1" w:styleId="Char5">
    <w:name w:val="正文首行缩进 Char"/>
    <w:basedOn w:val="Char4"/>
    <w:link w:val="af3"/>
    <w:uiPriority w:val="99"/>
    <w:qFormat/>
    <w:rsid w:val="0003642A"/>
    <w:rPr>
      <w:rFonts w:ascii="Times New Roman" w:eastAsia="宋体" w:hAnsi="Times New Roman" w:cs="Times New Roman"/>
      <w:sz w:val="24"/>
      <w:szCs w:val="28"/>
    </w:rPr>
  </w:style>
  <w:style w:type="paragraph" w:styleId="af4">
    <w:name w:val="Balloon Text"/>
    <w:basedOn w:val="a"/>
    <w:link w:val="Char6"/>
    <w:uiPriority w:val="99"/>
    <w:semiHidden/>
    <w:unhideWhenUsed/>
    <w:rsid w:val="00D20B58"/>
    <w:rPr>
      <w:sz w:val="18"/>
      <w:szCs w:val="18"/>
    </w:rPr>
  </w:style>
  <w:style w:type="character" w:customStyle="1" w:styleId="Char6">
    <w:name w:val="批注框文本 Char"/>
    <w:basedOn w:val="a0"/>
    <w:link w:val="af4"/>
    <w:uiPriority w:val="99"/>
    <w:semiHidden/>
    <w:rsid w:val="00D20B5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51183770">
      <w:bodyDiv w:val="1"/>
      <w:marLeft w:val="0"/>
      <w:marRight w:val="0"/>
      <w:marTop w:val="0"/>
      <w:marBottom w:val="0"/>
      <w:divBdr>
        <w:top w:val="none" w:sz="0" w:space="0" w:color="auto"/>
        <w:left w:val="none" w:sz="0" w:space="0" w:color="auto"/>
        <w:bottom w:val="none" w:sz="0" w:space="0" w:color="auto"/>
        <w:right w:val="none" w:sz="0" w:space="0" w:color="auto"/>
      </w:divBdr>
      <w:divsChild>
        <w:div w:id="1976369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12B83-2758-4AA1-85AC-A4C78E3B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杨</dc:creator>
  <cp:keywords/>
  <dc:description/>
  <cp:lastModifiedBy>微软用户</cp:lastModifiedBy>
  <cp:revision>5</cp:revision>
  <cp:lastPrinted>2018-11-08T04:06:00Z</cp:lastPrinted>
  <dcterms:created xsi:type="dcterms:W3CDTF">2019-06-24T08:40:00Z</dcterms:created>
  <dcterms:modified xsi:type="dcterms:W3CDTF">2019-07-01T02:26:00Z</dcterms:modified>
</cp:coreProperties>
</file>