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80"/>
        <w:jc w:val="center"/>
        <w:rPr>
          <w:rFonts w:ascii="宋体" w:hAnsi="宋体" w:eastAsia="宋体" w:cs="宋体"/>
        </w:rPr>
        <w:sectPr>
          <w:headerReference r:id="rId5" w:type="first"/>
          <w:footerReference r:id="rId8" w:type="first"/>
          <w:headerReference r:id="rId3" w:type="default"/>
          <w:footerReference r:id="rId6" w:type="default"/>
          <w:headerReference r:id="rId4" w:type="even"/>
          <w:footerReference r:id="rId7" w:type="even"/>
          <w:pgSz w:w="11906" w:h="16839"/>
          <w:pgMar w:top="1182" w:right="1380" w:bottom="942" w:left="1740" w:header="0" w:footer="0" w:gutter="0"/>
          <w:cols w:space="720" w:num="1"/>
          <w:docGrid w:type="lines" w:linePitch="312" w:charSpace="0"/>
        </w:sectPr>
      </w:pPr>
    </w:p>
    <w:p>
      <w:pPr>
        <w:spacing w:line="360" w:lineRule="auto"/>
        <w:ind w:firstLine="883"/>
        <w:jc w:val="center"/>
        <w:rPr>
          <w:rFonts w:ascii="宋体" w:hAnsi="宋体" w:eastAsia="宋体" w:cs="宋体"/>
          <w:b/>
          <w:bCs/>
          <w:sz w:val="44"/>
          <w:szCs w:val="44"/>
        </w:rPr>
      </w:pPr>
    </w:p>
    <w:p>
      <w:pPr>
        <w:spacing w:line="360" w:lineRule="auto"/>
        <w:ind w:firstLine="883"/>
        <w:jc w:val="center"/>
        <w:rPr>
          <w:rFonts w:ascii="宋体" w:hAnsi="宋体" w:eastAsia="宋体" w:cs="宋体"/>
          <w:b/>
          <w:bCs/>
          <w:sz w:val="44"/>
          <w:szCs w:val="44"/>
        </w:rPr>
      </w:pPr>
    </w:p>
    <w:p>
      <w:pPr>
        <w:spacing w:line="360" w:lineRule="auto"/>
        <w:ind w:firstLine="883"/>
        <w:jc w:val="center"/>
        <w:rPr>
          <w:rFonts w:ascii="宋体" w:hAnsi="宋体" w:eastAsia="宋体" w:cs="宋体"/>
          <w:b/>
          <w:bCs/>
          <w:sz w:val="44"/>
          <w:szCs w:val="44"/>
        </w:rPr>
      </w:pPr>
    </w:p>
    <w:p>
      <w:pPr>
        <w:spacing w:line="360" w:lineRule="auto"/>
        <w:ind w:firstLine="883"/>
        <w:jc w:val="center"/>
        <w:rPr>
          <w:rFonts w:ascii="宋体" w:hAnsi="宋体" w:eastAsia="宋体" w:cs="宋体"/>
          <w:b/>
          <w:bCs/>
          <w:sz w:val="44"/>
          <w:szCs w:val="44"/>
        </w:rPr>
      </w:pPr>
    </w:p>
    <w:p>
      <w:pPr>
        <w:pStyle w:val="4"/>
        <w:rPr>
          <w:rFonts w:ascii="宋体" w:hAnsi="宋体" w:eastAsia="宋体"/>
          <w:sz w:val="32"/>
          <w:szCs w:val="32"/>
        </w:rPr>
      </w:pPr>
      <w:r>
        <w:rPr>
          <w:rFonts w:hint="eastAsia" w:ascii="宋体" w:hAnsi="宋体" w:eastAsia="宋体"/>
        </w:rPr>
        <w:t>生产建设项目水土保持设施</w:t>
      </w:r>
    </w:p>
    <w:p>
      <w:pPr>
        <w:spacing w:line="360" w:lineRule="auto"/>
        <w:ind w:firstLine="643"/>
        <w:jc w:val="center"/>
        <w:rPr>
          <w:rFonts w:ascii="宋体" w:hAnsi="宋体" w:eastAsia="宋体" w:cs="宋体"/>
          <w:b/>
          <w:bCs/>
          <w:sz w:val="32"/>
          <w:szCs w:val="32"/>
        </w:rPr>
      </w:pPr>
    </w:p>
    <w:p>
      <w:pPr>
        <w:pStyle w:val="4"/>
        <w:rPr>
          <w:sz w:val="72"/>
          <w:szCs w:val="72"/>
        </w:rPr>
      </w:pPr>
      <w:r>
        <w:rPr>
          <w:rFonts w:hint="eastAsia"/>
          <w:sz w:val="72"/>
          <w:szCs w:val="72"/>
        </w:rPr>
        <w:t>验收鉴定书</w:t>
      </w:r>
    </w:p>
    <w:p>
      <w:pPr>
        <w:spacing w:line="360" w:lineRule="auto"/>
        <w:ind w:firstLine="440"/>
        <w:jc w:val="center"/>
        <w:rPr>
          <w:rFonts w:ascii="宋体" w:hAnsi="宋体" w:eastAsia="宋体" w:cs="宋体"/>
          <w:sz w:val="22"/>
          <w:szCs w:val="24"/>
        </w:rPr>
      </w:pPr>
    </w:p>
    <w:p>
      <w:pPr>
        <w:spacing w:line="360" w:lineRule="auto"/>
        <w:ind w:firstLine="440"/>
        <w:jc w:val="center"/>
        <w:rPr>
          <w:rFonts w:ascii="宋体" w:hAnsi="宋体" w:eastAsia="宋体" w:cs="宋体"/>
          <w:sz w:val="22"/>
          <w:szCs w:val="24"/>
        </w:rPr>
      </w:pPr>
    </w:p>
    <w:p>
      <w:pPr>
        <w:spacing w:line="360" w:lineRule="auto"/>
        <w:ind w:firstLine="440"/>
        <w:jc w:val="center"/>
        <w:rPr>
          <w:rFonts w:ascii="宋体" w:hAnsi="宋体" w:eastAsia="宋体" w:cs="宋体"/>
          <w:sz w:val="22"/>
          <w:szCs w:val="24"/>
        </w:rPr>
      </w:pPr>
    </w:p>
    <w:p>
      <w:pPr>
        <w:spacing w:line="360" w:lineRule="auto"/>
        <w:ind w:firstLine="440"/>
        <w:jc w:val="center"/>
        <w:rPr>
          <w:rFonts w:ascii="宋体" w:hAnsi="宋体" w:eastAsia="宋体" w:cs="宋体"/>
          <w:sz w:val="22"/>
          <w:szCs w:val="24"/>
        </w:rPr>
      </w:pPr>
    </w:p>
    <w:p>
      <w:pPr>
        <w:spacing w:line="360" w:lineRule="auto"/>
        <w:ind w:firstLine="440"/>
        <w:jc w:val="center"/>
        <w:rPr>
          <w:rFonts w:ascii="宋体" w:hAnsi="宋体" w:eastAsia="宋体" w:cs="宋体"/>
          <w:sz w:val="22"/>
          <w:szCs w:val="24"/>
        </w:rPr>
      </w:pPr>
    </w:p>
    <w:p>
      <w:pPr>
        <w:widowControl/>
        <w:ind w:firstLine="440"/>
        <w:jc w:val="center"/>
        <w:rPr>
          <w:rFonts w:ascii="宋体" w:hAnsi="宋体" w:eastAsia="宋体" w:cs="宋体"/>
          <w:sz w:val="22"/>
          <w:szCs w:val="24"/>
        </w:rPr>
      </w:pPr>
    </w:p>
    <w:p>
      <w:pPr>
        <w:widowControl/>
        <w:ind w:firstLine="440"/>
        <w:jc w:val="center"/>
        <w:rPr>
          <w:rFonts w:ascii="宋体" w:hAnsi="宋体" w:eastAsia="宋体" w:cs="宋体"/>
          <w:sz w:val="22"/>
          <w:szCs w:val="24"/>
        </w:rPr>
      </w:pPr>
    </w:p>
    <w:p>
      <w:pPr>
        <w:widowControl/>
        <w:ind w:firstLine="440"/>
        <w:jc w:val="center"/>
        <w:rPr>
          <w:rFonts w:ascii="宋体" w:hAnsi="宋体" w:eastAsia="宋体" w:cs="宋体"/>
          <w:sz w:val="22"/>
          <w:szCs w:val="24"/>
        </w:rPr>
      </w:pPr>
    </w:p>
    <w:p>
      <w:pPr>
        <w:widowControl/>
        <w:ind w:firstLine="440"/>
        <w:jc w:val="center"/>
        <w:rPr>
          <w:rFonts w:ascii="宋体" w:hAnsi="宋体" w:eastAsia="宋体" w:cs="宋体"/>
          <w:sz w:val="22"/>
          <w:szCs w:val="24"/>
        </w:rPr>
      </w:pPr>
    </w:p>
    <w:p>
      <w:pPr>
        <w:widowControl/>
        <w:ind w:firstLine="440"/>
        <w:jc w:val="center"/>
        <w:rPr>
          <w:rFonts w:ascii="宋体" w:hAnsi="宋体" w:eastAsia="宋体" w:cs="宋体"/>
          <w:sz w:val="22"/>
          <w:szCs w:val="24"/>
        </w:rPr>
      </w:pPr>
    </w:p>
    <w:p>
      <w:pPr>
        <w:widowControl/>
        <w:ind w:firstLine="440"/>
        <w:jc w:val="center"/>
        <w:rPr>
          <w:rFonts w:ascii="宋体" w:hAnsi="宋体" w:eastAsia="宋体" w:cs="宋体"/>
          <w:sz w:val="22"/>
          <w:szCs w:val="24"/>
        </w:rPr>
      </w:pPr>
    </w:p>
    <w:p>
      <w:pPr>
        <w:widowControl/>
        <w:ind w:firstLine="440"/>
        <w:jc w:val="center"/>
        <w:rPr>
          <w:rFonts w:ascii="宋体" w:hAnsi="宋体" w:eastAsia="宋体" w:cs="宋体"/>
          <w:sz w:val="22"/>
          <w:szCs w:val="24"/>
        </w:rPr>
        <w:sectPr>
          <w:type w:val="continuous"/>
          <w:pgSz w:w="11906" w:h="16839"/>
          <w:pgMar w:top="1182" w:right="1380" w:bottom="942" w:left="1740" w:header="0" w:footer="0" w:gutter="0"/>
          <w:cols w:equalWidth="0" w:num="1">
            <w:col w:w="8785"/>
          </w:cols>
          <w:docGrid w:type="lines" w:linePitch="312" w:charSpace="0"/>
        </w:sectPr>
      </w:pPr>
    </w:p>
    <w:p>
      <w:pPr>
        <w:widowControl/>
        <w:ind w:firstLine="440"/>
        <w:rPr>
          <w:rFonts w:ascii="宋体" w:hAnsi="宋体" w:eastAsia="宋体" w:cs="宋体"/>
          <w:sz w:val="22"/>
          <w:szCs w:val="24"/>
        </w:rPr>
        <w:sectPr>
          <w:type w:val="continuous"/>
          <w:pgSz w:w="11906" w:h="16839"/>
          <w:pgMar w:top="1182" w:right="1380" w:bottom="942" w:left="1740" w:header="0" w:footer="0" w:gutter="0"/>
          <w:cols w:space="720" w:num="1"/>
          <w:docGrid w:type="lines" w:linePitch="312" w:charSpace="0"/>
        </w:sectPr>
      </w:pPr>
    </w:p>
    <w:p>
      <w:pPr>
        <w:ind w:firstLine="562"/>
        <w:jc w:val="left"/>
        <w:rPr>
          <w:rFonts w:ascii="宋体" w:hAnsi="宋体" w:eastAsia="宋体"/>
          <w:b/>
          <w:sz w:val="28"/>
          <w:u w:val="single"/>
        </w:rPr>
      </w:pPr>
      <w:r>
        <w:rPr>
          <w:rFonts w:hint="eastAsia" w:ascii="宋体" w:hAnsi="宋体" w:eastAsia="宋体"/>
          <w:b/>
          <w:bCs/>
          <w:sz w:val="28"/>
        </w:rPr>
        <w:t>项目名称：</w:t>
      </w:r>
      <w:r>
        <w:rPr>
          <w:rFonts w:hint="eastAsia" w:ascii="宋体" w:hAnsi="宋体" w:eastAsia="宋体"/>
          <w:b/>
          <w:sz w:val="28"/>
          <w:u w:val="single"/>
        </w:rPr>
        <w:t>年产7000吨机械零部件生产项目</w:t>
      </w:r>
    </w:p>
    <w:p>
      <w:pPr>
        <w:ind w:firstLine="562"/>
        <w:jc w:val="left"/>
        <w:rPr>
          <w:rFonts w:ascii="宋体" w:hAnsi="宋体" w:eastAsia="宋体"/>
          <w:b/>
          <w:sz w:val="28"/>
          <w:u w:val="single"/>
        </w:rPr>
      </w:pPr>
      <w:r>
        <w:rPr>
          <w:rFonts w:hint="eastAsia" w:ascii="宋体" w:hAnsi="宋体" w:eastAsia="宋体"/>
          <w:b/>
          <w:bCs/>
          <w:sz w:val="28"/>
        </w:rPr>
        <w:t>项目编号：</w:t>
      </w:r>
      <w:r>
        <w:rPr>
          <w:rFonts w:hint="eastAsia" w:ascii="宋体" w:hAnsi="宋体" w:eastAsia="宋体"/>
          <w:b/>
          <w:sz w:val="28"/>
          <w:u w:val="single"/>
        </w:rPr>
        <w:t>川投资备〔2017-511425-34-03-183116〕FGQB-0324号</w:t>
      </w:r>
    </w:p>
    <w:p>
      <w:pPr>
        <w:ind w:firstLine="562"/>
        <w:jc w:val="left"/>
        <w:rPr>
          <w:rFonts w:ascii="宋体" w:hAnsi="宋体" w:eastAsia="宋体"/>
          <w:b/>
          <w:sz w:val="28"/>
          <w:u w:val="single"/>
        </w:rPr>
      </w:pPr>
      <w:r>
        <w:rPr>
          <w:rFonts w:hint="eastAsia" w:ascii="宋体" w:hAnsi="宋体" w:eastAsia="宋体"/>
          <w:b/>
          <w:bCs/>
          <w:sz w:val="28"/>
        </w:rPr>
        <w:t>建设地点：</w:t>
      </w:r>
      <w:r>
        <w:rPr>
          <w:rFonts w:hint="eastAsia" w:ascii="宋体" w:hAnsi="宋体" w:eastAsia="宋体"/>
          <w:b/>
          <w:sz w:val="28"/>
          <w:u w:val="single"/>
        </w:rPr>
        <w:t>四川省眉山市青神县工业园区（黑龙镇高墩村7组）</w:t>
      </w:r>
    </w:p>
    <w:p>
      <w:pPr>
        <w:ind w:firstLine="562"/>
        <w:jc w:val="left"/>
        <w:rPr>
          <w:rFonts w:ascii="宋体" w:hAnsi="宋体" w:eastAsia="宋体"/>
          <w:b/>
          <w:sz w:val="28"/>
        </w:rPr>
      </w:pPr>
      <w:r>
        <w:rPr>
          <w:rFonts w:hint="eastAsia" w:ascii="宋体" w:hAnsi="宋体" w:eastAsia="宋体"/>
          <w:b/>
          <w:bCs/>
          <w:sz w:val="28"/>
        </w:rPr>
        <w:t>验收单位：</w:t>
      </w:r>
      <w:r>
        <w:rPr>
          <w:rFonts w:hint="eastAsia" w:ascii="宋体" w:hAnsi="宋体" w:eastAsia="宋体"/>
          <w:b/>
          <w:sz w:val="28"/>
          <w:u w:val="single"/>
        </w:rPr>
        <w:t>青神县康泰机械有限公司</w:t>
      </w:r>
    </w:p>
    <w:p>
      <w:pPr>
        <w:widowControl/>
        <w:ind w:firstLine="640"/>
        <w:jc w:val="center"/>
        <w:rPr>
          <w:rFonts w:ascii="宋体" w:hAnsi="宋体" w:eastAsia="宋体" w:cs="宋体"/>
          <w:sz w:val="32"/>
          <w:szCs w:val="32"/>
        </w:rPr>
      </w:pPr>
    </w:p>
    <w:p>
      <w:pPr>
        <w:widowControl/>
        <w:ind w:firstLine="640"/>
        <w:jc w:val="center"/>
        <w:rPr>
          <w:rFonts w:ascii="宋体" w:hAnsi="宋体" w:eastAsia="宋体" w:cs="宋体"/>
          <w:sz w:val="32"/>
          <w:szCs w:val="32"/>
        </w:rPr>
      </w:pPr>
    </w:p>
    <w:p>
      <w:pPr>
        <w:ind w:firstLine="560"/>
        <w:jc w:val="center"/>
        <w:rPr>
          <w:sz w:val="28"/>
        </w:rPr>
      </w:pPr>
      <w:r>
        <w:rPr>
          <w:rFonts w:hint="eastAsia"/>
          <w:sz w:val="28"/>
        </w:rPr>
        <w:t>2019</w:t>
      </w:r>
      <w:r>
        <w:rPr>
          <w:rFonts w:hint="eastAsia" w:ascii="宋体" w:hAnsi="宋体" w:eastAsia="宋体"/>
          <w:sz w:val="28"/>
        </w:rPr>
        <w:t>年</w:t>
      </w:r>
      <w:r>
        <w:rPr>
          <w:rFonts w:hint="eastAsia" w:eastAsia="宋体"/>
          <w:sz w:val="28"/>
        </w:rPr>
        <w:t>5</w:t>
      </w:r>
      <w:r>
        <w:rPr>
          <w:rFonts w:hint="eastAsia" w:ascii="宋体" w:hAnsi="宋体" w:eastAsia="宋体"/>
          <w:sz w:val="28"/>
        </w:rPr>
        <w:t>月</w:t>
      </w:r>
      <w:r>
        <w:rPr>
          <w:rFonts w:hint="eastAsia" w:eastAsia="宋体"/>
          <w:sz w:val="28"/>
        </w:rPr>
        <w:t>23</w:t>
      </w:r>
      <w:r>
        <w:rPr>
          <w:rFonts w:hint="eastAsia" w:ascii="宋体" w:hAnsi="宋体" w:eastAsia="宋体"/>
          <w:sz w:val="28"/>
        </w:rPr>
        <w:t>日</w:t>
      </w:r>
    </w:p>
    <w:p>
      <w:pPr>
        <w:widowControl/>
        <w:ind w:firstLine="560"/>
        <w:jc w:val="center"/>
        <w:rPr>
          <w:rFonts w:ascii="宋体" w:hAnsi="宋体" w:eastAsia="宋体" w:cs="宋体"/>
          <w:sz w:val="28"/>
        </w:rPr>
        <w:sectPr>
          <w:type w:val="continuous"/>
          <w:pgSz w:w="11906" w:h="16839"/>
          <w:pgMar w:top="1182" w:right="1380" w:bottom="942" w:left="1740" w:header="0" w:footer="0" w:gutter="0"/>
          <w:cols w:equalWidth="0" w:num="1">
            <w:col w:w="8785"/>
          </w:cols>
          <w:docGrid w:type="lines" w:linePitch="312" w:charSpace="0"/>
        </w:sectPr>
      </w:pPr>
    </w:p>
    <w:p>
      <w:pPr>
        <w:pStyle w:val="6"/>
      </w:pPr>
      <w:r>
        <w:rPr>
          <w:rFonts w:hint="eastAsia"/>
        </w:rPr>
        <w:t>一、生产建设项目水土保持设施验收基本情况表</w:t>
      </w:r>
      <w:r>
        <w:rPr>
          <w:rFonts w:hint="eastAsia"/>
        </w:rPr>
        <w:tab/>
      </w:r>
    </w:p>
    <w:tbl>
      <w:tblPr>
        <w:tblStyle w:val="37"/>
        <w:tblW w:w="883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50"/>
        <w:gridCol w:w="2776"/>
        <w:gridCol w:w="1329"/>
        <w:gridCol w:w="197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项目名称</w:t>
            </w:r>
          </w:p>
        </w:tc>
        <w:tc>
          <w:tcPr>
            <w:tcW w:w="2776" w:type="dxa"/>
            <w:vAlign w:val="center"/>
          </w:tcPr>
          <w:p>
            <w:pPr>
              <w:pStyle w:val="27"/>
              <w:rPr>
                <w:szCs w:val="21"/>
              </w:rPr>
            </w:pPr>
            <w:r>
              <w:rPr>
                <w:rFonts w:hint="eastAsia"/>
                <w:szCs w:val="21"/>
              </w:rPr>
              <w:t>年产7000吨机械零部件生产项目</w:t>
            </w:r>
          </w:p>
        </w:tc>
        <w:tc>
          <w:tcPr>
            <w:tcW w:w="1329" w:type="dxa"/>
            <w:vAlign w:val="center"/>
          </w:tcPr>
          <w:p>
            <w:pPr>
              <w:pStyle w:val="27"/>
            </w:pPr>
            <w:r>
              <w:rPr>
                <w:rFonts w:hint="eastAsia"/>
              </w:rPr>
              <w:t>行业</w:t>
            </w:r>
          </w:p>
          <w:p>
            <w:pPr>
              <w:pStyle w:val="27"/>
            </w:pPr>
            <w:r>
              <w:rPr>
                <w:rFonts w:hint="eastAsia"/>
              </w:rPr>
              <w:t>类别</w:t>
            </w:r>
          </w:p>
        </w:tc>
        <w:tc>
          <w:tcPr>
            <w:tcW w:w="1979" w:type="dxa"/>
            <w:vAlign w:val="center"/>
          </w:tcPr>
          <w:p>
            <w:pPr>
              <w:spacing w:line="240" w:lineRule="atLeast"/>
              <w:ind w:firstLine="360"/>
              <w:jc w:val="center"/>
            </w:pPr>
            <w:r>
              <w:rPr>
                <w:rFonts w:hint="eastAsia"/>
                <w:sz w:val="18"/>
                <w:szCs w:val="21"/>
              </w:rPr>
              <w:t>建设类（生产厂房）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主管部门</w:t>
            </w:r>
          </w:p>
          <w:p>
            <w:pPr>
              <w:pStyle w:val="27"/>
            </w:pPr>
            <w:r>
              <w:rPr>
                <w:rFonts w:hint="eastAsia"/>
              </w:rPr>
              <w:t>（或主要投资方）</w:t>
            </w:r>
          </w:p>
        </w:tc>
        <w:tc>
          <w:tcPr>
            <w:tcW w:w="2776" w:type="dxa"/>
            <w:vAlign w:val="center"/>
          </w:tcPr>
          <w:p>
            <w:pPr>
              <w:pStyle w:val="27"/>
              <w:rPr>
                <w:szCs w:val="21"/>
              </w:rPr>
            </w:pPr>
            <w:r>
              <w:rPr>
                <w:rFonts w:hint="eastAsia"/>
                <w:szCs w:val="21"/>
              </w:rPr>
              <w:t>青神县康泰机械有限公司</w:t>
            </w:r>
          </w:p>
        </w:tc>
        <w:tc>
          <w:tcPr>
            <w:tcW w:w="1329" w:type="dxa"/>
            <w:vAlign w:val="center"/>
          </w:tcPr>
          <w:p>
            <w:pPr>
              <w:pStyle w:val="27"/>
            </w:pPr>
            <w:r>
              <w:rPr>
                <w:rFonts w:hint="eastAsia"/>
              </w:rPr>
              <w:t>项目</w:t>
            </w:r>
          </w:p>
          <w:p>
            <w:pPr>
              <w:pStyle w:val="27"/>
            </w:pPr>
            <w:r>
              <w:rPr>
                <w:rFonts w:hint="eastAsia"/>
              </w:rPr>
              <w:t>性质</w:t>
            </w:r>
          </w:p>
        </w:tc>
        <w:tc>
          <w:tcPr>
            <w:tcW w:w="1979" w:type="dxa"/>
            <w:vAlign w:val="center"/>
          </w:tcPr>
          <w:p>
            <w:pPr>
              <w:pStyle w:val="27"/>
              <w:rPr>
                <w:szCs w:val="21"/>
              </w:rPr>
            </w:pPr>
            <w:r>
              <w:rPr>
                <w:rFonts w:hint="eastAsia"/>
                <w:szCs w:val="21"/>
              </w:rPr>
              <w:t>新建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水土保持方案批复机</w:t>
            </w:r>
          </w:p>
          <w:p>
            <w:pPr>
              <w:pStyle w:val="27"/>
            </w:pPr>
            <w:r>
              <w:rPr>
                <w:rFonts w:hint="eastAsia"/>
              </w:rPr>
              <w:t>关、文号及时间</w:t>
            </w:r>
          </w:p>
        </w:tc>
        <w:tc>
          <w:tcPr>
            <w:tcW w:w="6084" w:type="dxa"/>
            <w:gridSpan w:val="3"/>
            <w:vAlign w:val="center"/>
          </w:tcPr>
          <w:p>
            <w:pPr>
              <w:pStyle w:val="27"/>
            </w:pPr>
            <w:r>
              <w:rPr>
                <w:rFonts w:hint="eastAsia"/>
                <w:szCs w:val="21"/>
              </w:rPr>
              <w:t>批复机关：</w:t>
            </w:r>
            <w:r>
              <w:rPr>
                <w:rFonts w:hint="eastAsia"/>
                <w:spacing w:val="-1"/>
                <w:szCs w:val="21"/>
              </w:rPr>
              <w:t>青神县水务局；批准文号：</w:t>
            </w:r>
            <w:r>
              <w:rPr>
                <w:rFonts w:hint="eastAsia"/>
              </w:rPr>
              <w:t>（青水函[2018]31号）</w:t>
            </w:r>
          </w:p>
          <w:p>
            <w:pPr>
              <w:pStyle w:val="27"/>
              <w:rPr>
                <w:szCs w:val="21"/>
              </w:rPr>
            </w:pPr>
            <w:r>
              <w:rPr>
                <w:rFonts w:hint="eastAsia"/>
                <w:spacing w:val="-1"/>
                <w:szCs w:val="21"/>
              </w:rPr>
              <w:t>批复时间：20</w:t>
            </w:r>
            <w:r>
              <w:rPr>
                <w:spacing w:val="-1"/>
                <w:szCs w:val="21"/>
              </w:rPr>
              <w:t>1</w:t>
            </w:r>
            <w:r>
              <w:rPr>
                <w:rFonts w:hint="eastAsia"/>
                <w:spacing w:val="-1"/>
                <w:szCs w:val="21"/>
              </w:rPr>
              <w:t>8年4月3日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水土保持方案变更批复</w:t>
            </w:r>
          </w:p>
          <w:p>
            <w:pPr>
              <w:pStyle w:val="27"/>
            </w:pPr>
            <w:r>
              <w:rPr>
                <w:rFonts w:hint="eastAsia"/>
              </w:rPr>
              <w:t>机关、文号及时间</w:t>
            </w:r>
          </w:p>
        </w:tc>
        <w:tc>
          <w:tcPr>
            <w:tcW w:w="6084" w:type="dxa"/>
            <w:gridSpan w:val="3"/>
            <w:vAlign w:val="center"/>
          </w:tcPr>
          <w:p>
            <w:pPr>
              <w:pStyle w:val="27"/>
              <w:rPr>
                <w:szCs w:val="21"/>
              </w:rPr>
            </w:pPr>
            <w:r>
              <w:rPr>
                <w:rFonts w:hint="eastAsia"/>
                <w:szCs w:val="21"/>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水土保持初步设计批复</w:t>
            </w:r>
          </w:p>
          <w:p>
            <w:pPr>
              <w:pStyle w:val="27"/>
            </w:pPr>
            <w:r>
              <w:rPr>
                <w:rFonts w:hint="eastAsia"/>
              </w:rPr>
              <w:t>机关、文号及时间</w:t>
            </w:r>
          </w:p>
        </w:tc>
        <w:tc>
          <w:tcPr>
            <w:tcW w:w="6084" w:type="dxa"/>
            <w:gridSpan w:val="3"/>
            <w:vAlign w:val="center"/>
          </w:tcPr>
          <w:p>
            <w:pPr>
              <w:pStyle w:val="27"/>
              <w:rPr>
                <w:szCs w:val="21"/>
              </w:rPr>
            </w:pPr>
            <w:r>
              <w:rPr>
                <w:rFonts w:hint="eastAsia"/>
              </w:rPr>
              <w:t>川投资备〔2017-511425-34-03-183116〕FGQB-0324号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项目建设起止时间</w:t>
            </w:r>
          </w:p>
        </w:tc>
        <w:tc>
          <w:tcPr>
            <w:tcW w:w="6084" w:type="dxa"/>
            <w:gridSpan w:val="3"/>
            <w:vAlign w:val="center"/>
          </w:tcPr>
          <w:p>
            <w:pPr>
              <w:pStyle w:val="27"/>
              <w:rPr>
                <w:szCs w:val="21"/>
              </w:rPr>
            </w:pPr>
            <w:r>
              <w:rPr>
                <w:rFonts w:hint="eastAsia"/>
                <w:spacing w:val="-1"/>
                <w:szCs w:val="21"/>
              </w:rPr>
              <w:t>20</w:t>
            </w:r>
            <w:r>
              <w:rPr>
                <w:spacing w:val="-1"/>
                <w:szCs w:val="21"/>
              </w:rPr>
              <w:t>1</w:t>
            </w:r>
            <w:r>
              <w:rPr>
                <w:rFonts w:hint="eastAsia"/>
                <w:spacing w:val="-1"/>
                <w:szCs w:val="21"/>
              </w:rPr>
              <w:t>8年4月至</w:t>
            </w:r>
            <w:r>
              <w:rPr>
                <w:rFonts w:hint="eastAsia"/>
                <w:szCs w:val="21"/>
              </w:rPr>
              <w:t>20</w:t>
            </w:r>
            <w:r>
              <w:rPr>
                <w:szCs w:val="21"/>
              </w:rPr>
              <w:t>1</w:t>
            </w:r>
            <w:r>
              <w:rPr>
                <w:rFonts w:hint="eastAsia"/>
                <w:szCs w:val="21"/>
              </w:rPr>
              <w:t>9年1月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水土保持方案编制单位</w:t>
            </w:r>
          </w:p>
        </w:tc>
        <w:tc>
          <w:tcPr>
            <w:tcW w:w="6084" w:type="dxa"/>
            <w:gridSpan w:val="3"/>
            <w:vAlign w:val="center"/>
          </w:tcPr>
          <w:p>
            <w:pPr>
              <w:pStyle w:val="27"/>
              <w:rPr>
                <w:szCs w:val="21"/>
              </w:rPr>
            </w:pPr>
            <w:r>
              <w:rPr>
                <w:rFonts w:hint="eastAsia"/>
              </w:rPr>
              <w:t>四川眉山华能工程技术咨询设计有限公司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水土保持初步设计单位</w:t>
            </w:r>
          </w:p>
        </w:tc>
        <w:tc>
          <w:tcPr>
            <w:tcW w:w="6084" w:type="dxa"/>
            <w:gridSpan w:val="3"/>
            <w:vAlign w:val="center"/>
          </w:tcPr>
          <w:p>
            <w:pPr>
              <w:pStyle w:val="27"/>
              <w:rPr>
                <w:szCs w:val="21"/>
              </w:rPr>
            </w:pPr>
            <w:r>
              <w:rPr>
                <w:rFonts w:hint="eastAsia"/>
              </w:rPr>
              <w:t>四川省青神县吉元建筑设计有限公司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水土保持监测单位</w:t>
            </w:r>
          </w:p>
        </w:tc>
        <w:tc>
          <w:tcPr>
            <w:tcW w:w="6084" w:type="dxa"/>
            <w:gridSpan w:val="3"/>
            <w:vAlign w:val="center"/>
          </w:tcPr>
          <w:p>
            <w:pPr>
              <w:pStyle w:val="27"/>
              <w:rPr>
                <w:szCs w:val="21"/>
              </w:rPr>
            </w:pPr>
            <w:r>
              <w:rPr>
                <w:rFonts w:hint="eastAsia"/>
                <w:szCs w:val="21"/>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水土保持施工单位</w:t>
            </w:r>
          </w:p>
        </w:tc>
        <w:tc>
          <w:tcPr>
            <w:tcW w:w="6084" w:type="dxa"/>
            <w:gridSpan w:val="3"/>
            <w:vAlign w:val="center"/>
          </w:tcPr>
          <w:p>
            <w:pPr>
              <w:pStyle w:val="27"/>
              <w:rPr>
                <w:szCs w:val="21"/>
              </w:rPr>
            </w:pPr>
            <w:r>
              <w:rPr>
                <w:rFonts w:hint="eastAsia"/>
                <w:kern w:val="0"/>
              </w:rPr>
              <w:t>广东电白二建集团有限公司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水土保持监理单位</w:t>
            </w:r>
          </w:p>
        </w:tc>
        <w:tc>
          <w:tcPr>
            <w:tcW w:w="6084" w:type="dxa"/>
            <w:gridSpan w:val="3"/>
            <w:vAlign w:val="center"/>
          </w:tcPr>
          <w:p>
            <w:pPr>
              <w:pStyle w:val="27"/>
              <w:rPr>
                <w:szCs w:val="21"/>
              </w:rPr>
            </w:pPr>
            <w:r>
              <w:rPr>
                <w:rFonts w:hint="eastAsia"/>
              </w:rPr>
              <w:t>四川龙瑞工程项目管理有限公司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850" w:hRule="atLeast"/>
        </w:trPr>
        <w:tc>
          <w:tcPr>
            <w:tcW w:w="2750" w:type="dxa"/>
            <w:vAlign w:val="center"/>
          </w:tcPr>
          <w:p>
            <w:pPr>
              <w:pStyle w:val="27"/>
            </w:pPr>
            <w:r>
              <w:rPr>
                <w:rFonts w:hint="eastAsia"/>
              </w:rPr>
              <w:t>水土保持设施验收</w:t>
            </w:r>
          </w:p>
          <w:p>
            <w:pPr>
              <w:pStyle w:val="27"/>
            </w:pPr>
            <w:r>
              <w:rPr>
                <w:rFonts w:hint="eastAsia"/>
              </w:rPr>
              <w:t>报告编制单位</w:t>
            </w:r>
          </w:p>
        </w:tc>
        <w:tc>
          <w:tcPr>
            <w:tcW w:w="6084" w:type="dxa"/>
            <w:gridSpan w:val="3"/>
            <w:vAlign w:val="center"/>
          </w:tcPr>
          <w:p>
            <w:pPr>
              <w:pStyle w:val="27"/>
              <w:rPr>
                <w:szCs w:val="21"/>
              </w:rPr>
            </w:pPr>
            <w:r>
              <w:rPr>
                <w:rFonts w:hint="eastAsia"/>
                <w:szCs w:val="21"/>
              </w:rPr>
              <w:t>眉山尧路建设工程项目管理有限公司</w:t>
            </w:r>
          </w:p>
        </w:tc>
      </w:tr>
    </w:tbl>
    <w:p>
      <w:pPr>
        <w:widowControl/>
        <w:ind w:firstLine="0" w:firstLineChars="0"/>
        <w:jc w:val="left"/>
        <w:rPr>
          <w:b/>
          <w:sz w:val="30"/>
        </w:rPr>
      </w:pPr>
      <w:r>
        <w:br w:type="page"/>
      </w:r>
    </w:p>
    <w:p>
      <w:pPr>
        <w:pStyle w:val="6"/>
        <w:rPr>
          <w:spacing w:val="-1"/>
        </w:rPr>
      </w:pPr>
      <w:r>
        <w:rPr>
          <w:rFonts w:hint="eastAsia"/>
        </w:rPr>
        <w:t>二、验收意见</w:t>
      </w:r>
    </w:p>
    <w:p>
      <w:pPr>
        <w:ind w:firstLine="480"/>
      </w:pPr>
      <w:r>
        <w:rPr>
          <w:rFonts w:hint="eastAsia"/>
        </w:rPr>
        <w:t>2019年</w:t>
      </w:r>
      <w:r>
        <w:rPr>
          <w:rFonts w:hint="eastAsia"/>
          <w:lang w:val="en-US" w:eastAsia="zh-CN"/>
        </w:rPr>
        <w:t>5</w:t>
      </w:r>
      <w:r>
        <w:rPr>
          <w:rFonts w:hint="eastAsia"/>
        </w:rPr>
        <w:t>月</w:t>
      </w:r>
      <w:r>
        <w:rPr>
          <w:rFonts w:hint="eastAsia"/>
          <w:lang w:val="en-US" w:eastAsia="zh-CN"/>
        </w:rPr>
        <w:t>28</w:t>
      </w:r>
      <w:bookmarkStart w:id="3" w:name="_GoBack"/>
      <w:bookmarkEnd w:id="3"/>
      <w:r>
        <w:rPr>
          <w:rFonts w:hint="eastAsia"/>
        </w:rPr>
        <w:t>日，青神县康泰机械有限公司在青神组织对年产7000吨机械零部件生产项目水土保持设施进行专项验收，验收组按照编制单位眉山尧路建设工程项目管理有限公司编制的《年产7000吨机械零部件生产项目水土保持设施验收报告》对照进行了现场检查和抽查，并召开了验收会议，参加会议的有水土保持设施验收报告编制单位的代表（名单附后）。</w:t>
      </w:r>
    </w:p>
    <w:p>
      <w:pPr>
        <w:ind w:firstLine="480"/>
      </w:pPr>
      <w:r>
        <w:rPr>
          <w:rFonts w:hint="eastAsia"/>
        </w:rPr>
        <w:t>（一）项目概况</w:t>
      </w:r>
    </w:p>
    <w:p>
      <w:pPr>
        <w:ind w:firstLine="480"/>
      </w:pPr>
      <w:r>
        <w:rPr>
          <w:rFonts w:hint="eastAsia"/>
        </w:rPr>
        <w:t>项目区位于青神县工业园区（黑龙镇高墩村7组），建业路北延线以东，四川省泰禾机械有限公司以西。</w:t>
      </w:r>
    </w:p>
    <w:p>
      <w:pPr>
        <w:spacing w:line="240" w:lineRule="auto"/>
        <w:ind w:firstLine="480" w:firstLineChars="200"/>
      </w:pPr>
      <w:r>
        <w:rPr>
          <w:rFonts w:hint="eastAsia" w:ascii="仿宋_GB2312" w:hAnsi="仿宋_GB2312" w:eastAsia="仿宋_GB2312" w:cs="仿宋_GB2312"/>
          <w:szCs w:val="28"/>
        </w:rPr>
        <w:t>本项目总占地2.02hm</w:t>
      </w:r>
      <w:r>
        <w:rPr>
          <w:rFonts w:hint="eastAsia" w:ascii="仿宋_GB2312" w:hAnsi="仿宋_GB2312" w:eastAsia="仿宋_GB2312" w:cs="仿宋_GB2312"/>
          <w:szCs w:val="28"/>
          <w:vertAlign w:val="superscript"/>
        </w:rPr>
        <w:t>2</w:t>
      </w:r>
      <w:r>
        <w:rPr>
          <w:rFonts w:hint="eastAsia" w:ascii="仿宋_GB2312" w:hAnsi="仿宋_GB2312" w:eastAsia="仿宋_GB2312" w:cs="仿宋_GB2312"/>
          <w:szCs w:val="28"/>
        </w:rPr>
        <w:t>，均为永久占地。总建筑面积</w:t>
      </w:r>
      <w:r>
        <w:rPr>
          <w:rFonts w:hint="eastAsia" w:ascii="仿宋_GB2312" w:hAnsi="仿宋_GB2312" w:eastAsia="仿宋_GB2312" w:cs="仿宋_GB2312"/>
          <w:szCs w:val="28"/>
          <w:lang w:val="en-US" w:eastAsia="zh-CN"/>
        </w:rPr>
        <w:t>11123</w:t>
      </w:r>
      <w:r>
        <w:rPr>
          <w:rFonts w:hint="eastAsia" w:ascii="仿宋_GB2312" w:hAnsi="仿宋_GB2312" w:eastAsia="仿宋_GB2312" w:cs="仿宋_GB2312"/>
          <w:szCs w:val="28"/>
        </w:rPr>
        <w:t>.7</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m</w:t>
      </w:r>
      <w:r>
        <w:rPr>
          <w:rFonts w:hint="eastAsia" w:ascii="仿宋_GB2312" w:hAnsi="仿宋_GB2312" w:eastAsia="仿宋_GB2312" w:cs="仿宋_GB2312"/>
          <w:szCs w:val="28"/>
          <w:vertAlign w:val="superscript"/>
        </w:rPr>
        <w:t>2</w:t>
      </w:r>
      <w:r>
        <w:rPr>
          <w:rFonts w:hint="eastAsia" w:ascii="仿宋_GB2312" w:hAnsi="仿宋_GB2312" w:eastAsia="仿宋_GB2312" w:cs="仿宋_GB2312"/>
          <w:szCs w:val="28"/>
        </w:rPr>
        <w:t>，其中地上建筑面积</w:t>
      </w:r>
      <w:r>
        <w:rPr>
          <w:rFonts w:hint="eastAsia" w:ascii="仿宋_GB2312" w:hAnsi="仿宋_GB2312" w:eastAsia="仿宋_GB2312" w:cs="仿宋_GB2312"/>
          <w:szCs w:val="28"/>
          <w:lang w:val="en-US" w:eastAsia="zh-CN"/>
        </w:rPr>
        <w:t>11123</w:t>
      </w:r>
      <w:r>
        <w:rPr>
          <w:rFonts w:hint="eastAsia" w:ascii="仿宋_GB2312" w:hAnsi="仿宋_GB2312" w:eastAsia="仿宋_GB2312" w:cs="仿宋_GB2312"/>
          <w:szCs w:val="28"/>
        </w:rPr>
        <w:t>.7</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m</w:t>
      </w:r>
      <w:r>
        <w:rPr>
          <w:rFonts w:hint="eastAsia" w:ascii="仿宋_GB2312" w:hAnsi="仿宋_GB2312" w:eastAsia="仿宋_GB2312" w:cs="仿宋_GB2312"/>
          <w:szCs w:val="28"/>
          <w:vertAlign w:val="superscript"/>
        </w:rPr>
        <w:t>2</w:t>
      </w:r>
      <w:r>
        <w:rPr>
          <w:rFonts w:hint="eastAsia" w:ascii="仿宋_GB2312" w:hAnsi="仿宋_GB2312" w:eastAsia="仿宋_GB2312" w:cs="仿宋_GB2312"/>
          <w:szCs w:val="28"/>
        </w:rPr>
        <w:t>，计容建筑面积</w:t>
      </w:r>
      <w:r>
        <w:rPr>
          <w:rFonts w:hint="eastAsia" w:ascii="仿宋_GB2312" w:hAnsi="仿宋_GB2312" w:eastAsia="仿宋_GB2312" w:cs="仿宋_GB2312"/>
          <w:szCs w:val="28"/>
          <w:lang w:val="en-US" w:eastAsia="zh-CN"/>
        </w:rPr>
        <w:t>22247.50</w:t>
      </w:r>
      <w:r>
        <w:rPr>
          <w:rFonts w:hint="eastAsia" w:ascii="仿宋_GB2312" w:hAnsi="仿宋_GB2312" w:eastAsia="仿宋_GB2312" w:cs="仿宋_GB2312"/>
          <w:szCs w:val="28"/>
        </w:rPr>
        <w:t>m</w:t>
      </w:r>
      <w:r>
        <w:rPr>
          <w:rFonts w:hint="eastAsia" w:ascii="仿宋_GB2312" w:hAnsi="仿宋_GB2312" w:eastAsia="仿宋_GB2312" w:cs="仿宋_GB2312"/>
          <w:szCs w:val="28"/>
          <w:vertAlign w:val="superscript"/>
        </w:rPr>
        <w:t>2</w:t>
      </w:r>
      <w:r>
        <w:rPr>
          <w:rFonts w:hint="eastAsia" w:ascii="仿宋_GB2312" w:hAnsi="仿宋_GB2312" w:eastAsia="仿宋_GB2312" w:cs="仿宋_GB2312"/>
          <w:szCs w:val="28"/>
        </w:rPr>
        <w:t>，建筑密度57.89%，容积率1.</w:t>
      </w:r>
      <w:r>
        <w:rPr>
          <w:rFonts w:hint="eastAsia" w:ascii="仿宋_GB2312" w:hAnsi="仿宋_GB2312" w:eastAsia="仿宋_GB2312" w:cs="仿宋_GB2312"/>
          <w:szCs w:val="28"/>
          <w:lang w:val="en-US" w:eastAsia="zh-CN"/>
        </w:rPr>
        <w:t>10</w:t>
      </w:r>
      <w:r>
        <w:rPr>
          <w:rFonts w:hint="eastAsia" w:ascii="仿宋_GB2312" w:hAnsi="仿宋_GB2312" w:eastAsia="仿宋_GB2312" w:cs="仿宋_GB2312"/>
          <w:szCs w:val="28"/>
        </w:rPr>
        <w:t>。建筑物基地面积为1.05hm</w:t>
      </w:r>
      <w:r>
        <w:rPr>
          <w:rFonts w:hint="eastAsia" w:ascii="仿宋_GB2312" w:hAnsi="仿宋_GB2312" w:eastAsia="仿宋_GB2312" w:cs="仿宋_GB2312"/>
          <w:szCs w:val="28"/>
          <w:vertAlign w:val="superscript"/>
        </w:rPr>
        <w:t>2</w:t>
      </w:r>
      <w:r>
        <w:rPr>
          <w:rFonts w:hint="eastAsia" w:ascii="仿宋_GB2312" w:hAnsi="仿宋_GB2312" w:eastAsia="仿宋_GB2312" w:cs="仿宋_GB2312"/>
          <w:szCs w:val="28"/>
        </w:rPr>
        <w:t>，绿化面积0.27hm</w:t>
      </w:r>
      <w:r>
        <w:rPr>
          <w:rFonts w:hint="eastAsia" w:ascii="仿宋_GB2312" w:hAnsi="仿宋_GB2312" w:eastAsia="仿宋_GB2312" w:cs="仿宋_GB2312"/>
          <w:szCs w:val="28"/>
          <w:vertAlign w:val="superscript"/>
        </w:rPr>
        <w:t>2</w:t>
      </w:r>
      <w:r>
        <w:rPr>
          <w:rFonts w:hint="eastAsia" w:ascii="仿宋_GB2312" w:hAnsi="仿宋_GB2312" w:eastAsia="仿宋_GB2312" w:cs="仿宋_GB2312"/>
          <w:szCs w:val="28"/>
        </w:rPr>
        <w:t>，绿地率13.25%，道路及硬化面积0.7hm</w:t>
      </w:r>
      <w:r>
        <w:rPr>
          <w:rFonts w:hint="eastAsia" w:ascii="仿宋_GB2312" w:hAnsi="仿宋_GB2312" w:eastAsia="仿宋_GB2312" w:cs="仿宋_GB2312"/>
          <w:szCs w:val="28"/>
          <w:vertAlign w:val="superscript"/>
        </w:rPr>
        <w:t>2</w:t>
      </w:r>
      <w:r>
        <w:rPr>
          <w:rFonts w:hint="eastAsia" w:ascii="仿宋_GB2312" w:hAnsi="仿宋_GB2312" w:eastAsia="仿宋_GB2312" w:cs="仿宋_GB2312"/>
          <w:szCs w:val="28"/>
        </w:rPr>
        <w:t>。</w:t>
      </w:r>
    </w:p>
    <w:p>
      <w:pPr>
        <w:ind w:firstLine="480"/>
        <w:rPr>
          <w:kern w:val="0"/>
        </w:rPr>
      </w:pPr>
      <w:r>
        <w:rPr>
          <w:rFonts w:hint="eastAsia"/>
          <w:kern w:val="0"/>
        </w:rPr>
        <w:t>本项目主要建设内容包括新建建构筑物共2栋,拟建生产车间及办公楼1栋、消防水池1座。</w:t>
      </w:r>
    </w:p>
    <w:p>
      <w:pPr>
        <w:ind w:firstLine="480"/>
        <w:rPr>
          <w:kern w:val="0"/>
        </w:rPr>
      </w:pPr>
      <w:r>
        <w:rPr>
          <w:rFonts w:hint="eastAsia"/>
          <w:kern w:val="0"/>
        </w:rPr>
        <w:t>拟建生产车间及办公楼位于基地中间，建筑面积</w:t>
      </w:r>
      <w:r>
        <w:rPr>
          <w:rFonts w:hint="eastAsia" w:ascii="仿宋_GB2312" w:hAnsi="仿宋_GB2312" w:eastAsia="仿宋_GB2312" w:cs="仿宋_GB2312"/>
          <w:szCs w:val="28"/>
          <w:lang w:val="en-US" w:eastAsia="zh-CN"/>
        </w:rPr>
        <w:t>11123</w:t>
      </w:r>
      <w:r>
        <w:rPr>
          <w:rFonts w:hint="eastAsia" w:ascii="仿宋_GB2312" w:hAnsi="仿宋_GB2312" w:eastAsia="仿宋_GB2312" w:cs="仿宋_GB2312"/>
          <w:szCs w:val="28"/>
        </w:rPr>
        <w:t>.7</w:t>
      </w:r>
      <w:r>
        <w:rPr>
          <w:rFonts w:hint="eastAsia" w:ascii="仿宋_GB2312" w:hAnsi="仿宋_GB2312" w:eastAsia="仿宋_GB2312" w:cs="仿宋_GB2312"/>
          <w:szCs w:val="28"/>
          <w:lang w:val="en-US" w:eastAsia="zh-CN"/>
        </w:rPr>
        <w:t>5</w:t>
      </w:r>
      <w:r>
        <w:rPr>
          <w:rFonts w:hint="eastAsia"/>
          <w:kern w:val="0"/>
        </w:rPr>
        <w:t>m</w:t>
      </w:r>
      <w:r>
        <w:rPr>
          <w:rFonts w:hint="eastAsia"/>
          <w:kern w:val="0"/>
          <w:vertAlign w:val="superscript"/>
        </w:rPr>
        <w:t>2</w:t>
      </w:r>
      <w:r>
        <w:rPr>
          <w:rFonts w:hint="eastAsia"/>
          <w:kern w:val="0"/>
        </w:rPr>
        <w:t>，地上共1层，建筑总高度为9.00m，建筑采用钢结构形式，基础采用独立柱基础。</w:t>
      </w:r>
    </w:p>
    <w:p>
      <w:pPr>
        <w:ind w:firstLine="480"/>
        <w:rPr>
          <w:kern w:val="0"/>
        </w:rPr>
      </w:pPr>
      <w:r>
        <w:rPr>
          <w:rFonts w:hint="eastAsia"/>
          <w:kern w:val="0"/>
        </w:rPr>
        <w:t>消防水池位于基地西北角，建筑面积28.09m</w:t>
      </w:r>
      <w:r>
        <w:rPr>
          <w:rFonts w:hint="eastAsia"/>
          <w:kern w:val="0"/>
          <w:vertAlign w:val="superscript"/>
        </w:rPr>
        <w:t>2</w:t>
      </w:r>
      <w:r>
        <w:rPr>
          <w:rFonts w:hint="eastAsia"/>
          <w:kern w:val="0"/>
        </w:rPr>
        <w:t>。</w:t>
      </w:r>
    </w:p>
    <w:p>
      <w:pPr>
        <w:ind w:firstLine="480"/>
        <w:rPr>
          <w:kern w:val="0"/>
        </w:rPr>
      </w:pPr>
      <w:r>
        <w:rPr>
          <w:rFonts w:hint="eastAsia"/>
          <w:kern w:val="0"/>
        </w:rPr>
        <w:t>本项目施工总工期为10个月，即2018年4月至2019年1月。</w:t>
      </w:r>
    </w:p>
    <w:p>
      <w:pPr>
        <w:ind w:firstLine="480"/>
      </w:pPr>
      <w:r>
        <w:rPr>
          <w:rFonts w:hint="eastAsia"/>
          <w:kern w:val="0"/>
        </w:rPr>
        <w:t>本项目类型</w:t>
      </w:r>
      <w:r>
        <w:rPr>
          <w:rFonts w:hint="eastAsia"/>
        </w:rPr>
        <w:t>为建设类，根据四川省发展和改革委员会、四川省财政厅的《关于制定水土保持补偿费收费标准的通知》（川发改价格【规定2017】347号）文件征收标准，本项目为属于一般性建设项目按照征占用土地面积没平方米1.3元一次性计征，水土保持补偿费共计2.62万元。</w:t>
      </w:r>
    </w:p>
    <w:p>
      <w:pPr>
        <w:ind w:firstLine="476"/>
        <w:rPr>
          <w:color w:val="000000" w:themeColor="text1"/>
          <w14:textFill>
            <w14:solidFill>
              <w14:schemeClr w14:val="tx1"/>
            </w14:solidFill>
          </w14:textFill>
        </w:rPr>
      </w:pPr>
      <w:r>
        <w:rPr>
          <w:rFonts w:hint="eastAsia"/>
          <w:bCs/>
          <w:color w:val="000000" w:themeColor="text1"/>
          <w:spacing w:val="-1"/>
          <w14:textFill>
            <w14:solidFill>
              <w14:schemeClr w14:val="tx1"/>
            </w14:solidFill>
          </w14:textFill>
        </w:rPr>
        <w:t>（二）水土保持方案批复情况</w:t>
      </w:r>
    </w:p>
    <w:p>
      <w:pPr>
        <w:ind w:firstLine="480"/>
      </w:pPr>
      <w:r>
        <w:rPr>
          <w:rFonts w:hint="eastAsia"/>
        </w:rPr>
        <w:t>2018年4月3日青神县水务局以《关于年产7000吨机械零部件生产项目水土保持方案报告书的的审查批复》（青水函[2018]31号）批准了该项目水土保持方案报告书。批复的主要建设内容有：水土流失防治责任范围面积2.02hm</w:t>
      </w:r>
      <w:r>
        <w:rPr>
          <w:rFonts w:hint="eastAsia"/>
          <w:vertAlign w:val="superscript"/>
        </w:rPr>
        <w:t>2</w:t>
      </w:r>
      <w:r>
        <w:rPr>
          <w:rFonts w:hint="eastAsia"/>
        </w:rPr>
        <w:t>，永久占地2.02hm</w:t>
      </w:r>
      <w:r>
        <w:rPr>
          <w:rFonts w:hint="eastAsia"/>
          <w:vertAlign w:val="superscript"/>
        </w:rPr>
        <w:t>2</w:t>
      </w:r>
      <w:r>
        <w:rPr>
          <w:rFonts w:hint="eastAsia"/>
        </w:rPr>
        <w:t>，无临时占地，不计直接影响区面积。防止责任范围划分为建（构）筑物区、道路及硬化工程区、绿化工程区3个一级防治区。水土流失量控制在允许土壤流失量为500t/k㎡.a。损坏或占用水土保持设施面积2.02 hm²，新增水土保持静态投资82.32万元，水土保持补偿费2.62万元。</w:t>
      </w:r>
    </w:p>
    <w:p>
      <w:pPr>
        <w:ind w:firstLine="476"/>
        <w:rPr>
          <w:bCs/>
          <w:color w:val="000000" w:themeColor="text1"/>
          <w:spacing w:val="-1"/>
          <w14:textFill>
            <w14:solidFill>
              <w14:schemeClr w14:val="tx1"/>
            </w14:solidFill>
          </w14:textFill>
        </w:rPr>
      </w:pPr>
      <w:r>
        <w:rPr>
          <w:rFonts w:hint="eastAsia"/>
          <w:bCs/>
          <w:color w:val="000000" w:themeColor="text1"/>
          <w:spacing w:val="-1"/>
          <w14:textFill>
            <w14:solidFill>
              <w14:schemeClr w14:val="tx1"/>
            </w14:solidFill>
          </w14:textFill>
        </w:rPr>
        <w:t>（三）水土保持初步设计情况</w:t>
      </w:r>
    </w:p>
    <w:p>
      <w:pPr>
        <w:ind w:firstLine="480"/>
      </w:pPr>
      <w:bookmarkStart w:id="0" w:name="_Hlk525633313"/>
      <w:r>
        <w:rPr>
          <w:rFonts w:hint="eastAsia"/>
        </w:rPr>
        <w:t>2017年11月07日青神县发展和改革局以《四川省固定资产投资项目备案表》（川投资备【2017-511425-34-03-183116】FGQB-0324号）对改项目进行了备案。施工图设计由主体工程设计单位四川省青神县吉元建筑设计有限公司负责；</w:t>
      </w:r>
      <w:bookmarkEnd w:id="0"/>
      <w:r>
        <w:rPr>
          <w:rFonts w:hint="eastAsia"/>
        </w:rPr>
        <w:t>2018年4月10日《施工图设计文件审查报告》由四川智力建筑技术咨询有限公司审查后取得了《四川省建设工程施工图设计文件审查合格证》（编号：226112018030078）。</w:t>
      </w:r>
    </w:p>
    <w:p>
      <w:pPr>
        <w:ind w:firstLine="476"/>
        <w:rPr>
          <w:bCs/>
          <w:spacing w:val="-1"/>
        </w:rPr>
      </w:pPr>
      <w:r>
        <w:rPr>
          <w:rFonts w:hint="eastAsia"/>
          <w:bCs/>
          <w:spacing w:val="-1"/>
        </w:rPr>
        <w:t>（四）水土保持监测情况</w:t>
      </w:r>
    </w:p>
    <w:p>
      <w:pPr>
        <w:ind w:firstLine="480"/>
      </w:pPr>
      <w:bookmarkStart w:id="1" w:name="_Hlk525638249"/>
      <w:bookmarkStart w:id="2" w:name="_Hlk525633991"/>
      <w:r>
        <w:rPr>
          <w:rFonts w:hint="eastAsia"/>
        </w:rPr>
        <w:t>水土保持监测作业由业主自行组织实施，与项目开工同时进行。水土保持防治措施布设的位置、类型、数量基本符合实际防治需要，实施情况总体良好。项目建设区内的水土保持设施运行正常，绿化树种及草坪长势良好，水土保持设施的管理、维护措施已落实到位，且能持续、安全、有效运转，符合交付使用要求。</w:t>
      </w:r>
      <w:bookmarkEnd w:id="1"/>
    </w:p>
    <w:bookmarkEnd w:id="2"/>
    <w:p>
      <w:pPr>
        <w:ind w:firstLine="476"/>
        <w:rPr>
          <w:bCs/>
          <w:spacing w:val="-1"/>
        </w:rPr>
      </w:pPr>
      <w:r>
        <w:rPr>
          <w:rFonts w:hint="eastAsia"/>
          <w:bCs/>
          <w:spacing w:val="-1"/>
        </w:rPr>
        <w:t>（五）验收报告编制情况和主要结论</w:t>
      </w:r>
    </w:p>
    <w:p>
      <w:pPr>
        <w:ind w:firstLine="476"/>
        <w:rPr>
          <w:bCs/>
          <w:spacing w:val="-1"/>
        </w:rPr>
      </w:pPr>
      <w:r>
        <w:rPr>
          <w:rFonts w:hint="eastAsia"/>
          <w:bCs/>
          <w:spacing w:val="-1"/>
        </w:rPr>
        <w:t>2</w:t>
      </w:r>
      <w:r>
        <w:rPr>
          <w:bCs/>
          <w:spacing w:val="-1"/>
        </w:rPr>
        <w:t>01</w:t>
      </w:r>
      <w:r>
        <w:rPr>
          <w:rFonts w:hint="eastAsia"/>
          <w:bCs/>
          <w:spacing w:val="-1"/>
        </w:rPr>
        <w:t>9年5月</w:t>
      </w:r>
      <w:r>
        <w:rPr>
          <w:rFonts w:hint="eastAsia"/>
        </w:rPr>
        <w:t>业主单位委托眉山尧路建设工程项目管理有限公司编制本项目水土保持设施验收报告，编制技术人员查阅了主体工程竣工资料，对工程现场进行了实地调查，抽查了工程措施和植物措施的运行情况，对工程沿线所涉及的相关人员进行了书面调查，在掌握第一手资料后，于2018年</w:t>
      </w:r>
      <w:r>
        <w:t>10</w:t>
      </w:r>
      <w:r>
        <w:rPr>
          <w:rFonts w:hint="eastAsia"/>
        </w:rPr>
        <w:t>月编制完成了《金龙小区建设项目水土保持设施验收报告》，报告认为：</w:t>
      </w:r>
      <w:r>
        <w:rPr>
          <w:rFonts w:hint="eastAsia"/>
          <w:lang w:val="zh-CN"/>
        </w:rPr>
        <w:t>本工程较好地完成了水土流失防治任务，各项工程安全可靠，工程质量总体合格，水土保持设施达到</w:t>
      </w:r>
      <w:r>
        <w:rPr>
          <w:rFonts w:hint="eastAsia"/>
          <w:spacing w:val="-6"/>
          <w:lang w:val="zh-CN"/>
        </w:rPr>
        <w:t>了国家水土保持法律法规及技术标准规定的验收条件，可以组织竣工验收。</w:t>
      </w:r>
    </w:p>
    <w:p>
      <w:pPr>
        <w:ind w:firstLine="480"/>
      </w:pPr>
      <w:r>
        <w:rPr>
          <w:rFonts w:hint="eastAsia"/>
        </w:rPr>
        <w:t>（六）验收结论</w:t>
      </w:r>
    </w:p>
    <w:p>
      <w:pPr>
        <w:ind w:firstLine="480"/>
      </w:pPr>
      <w:r>
        <w:rPr>
          <w:rFonts w:hint="eastAsia"/>
        </w:rPr>
        <w:t>该项</w:t>
      </w:r>
      <w:r>
        <w:rPr>
          <w:rFonts w:hint="eastAsia"/>
          <w:spacing w:val="2"/>
        </w:rPr>
        <w:t>目实施过</w:t>
      </w:r>
      <w:r>
        <w:rPr>
          <w:rFonts w:hint="eastAsia"/>
        </w:rPr>
        <w:t>程中按照批复文件的</w:t>
      </w:r>
      <w:r>
        <w:rPr>
          <w:rFonts w:hint="eastAsia"/>
          <w:spacing w:val="-3"/>
        </w:rPr>
        <w:t>要求</w:t>
      </w:r>
      <w:r>
        <w:rPr>
          <w:rFonts w:hint="eastAsia"/>
          <w:spacing w:val="2"/>
        </w:rPr>
        <w:t>落实了</w:t>
      </w:r>
      <w:r>
        <w:rPr>
          <w:rFonts w:hint="eastAsia"/>
        </w:rPr>
        <w:t>水土保</w:t>
      </w:r>
      <w:r>
        <w:rPr>
          <w:rFonts w:hint="eastAsia"/>
          <w:spacing w:val="2"/>
        </w:rPr>
        <w:t>持方案</w:t>
      </w:r>
      <w:r>
        <w:rPr>
          <w:rFonts w:hint="eastAsia"/>
          <w:spacing w:val="-3"/>
        </w:rPr>
        <w:t>，完成了水土流失预防和治理任务，水土流失防治指标达到水土保持方案确定的目标值，符合水土保持设施验收的</w:t>
      </w:r>
      <w:r>
        <w:rPr>
          <w:rFonts w:hint="eastAsia"/>
        </w:rPr>
        <w:t>条件，同意该项目水土保持设施通过验收。</w:t>
      </w:r>
    </w:p>
    <w:p>
      <w:pPr>
        <w:ind w:firstLine="480"/>
      </w:pPr>
      <w:r>
        <w:rPr>
          <w:rFonts w:hint="eastAsia"/>
        </w:rPr>
        <w:t>（七）后续管护要求</w:t>
      </w:r>
    </w:p>
    <w:p>
      <w:pPr>
        <w:ind w:firstLine="480"/>
      </w:pPr>
      <w:r>
        <w:rPr>
          <w:rFonts w:hint="eastAsia"/>
        </w:rPr>
        <w:t>加强该项目工程运行中对排水管</w:t>
      </w:r>
      <w:r>
        <w:rPr>
          <w:rFonts w:hint="eastAsia"/>
          <w:spacing w:val="-3"/>
        </w:rPr>
        <w:t>的维修养护工作，确保排水畅通；</w:t>
      </w:r>
      <w:r>
        <w:rPr>
          <w:rFonts w:hint="eastAsia"/>
        </w:rPr>
        <w:t>加强绿化养护，对枯死的树及时补植。</w:t>
      </w:r>
    </w:p>
    <w:p>
      <w:pPr>
        <w:widowControl/>
        <w:ind w:firstLine="0" w:firstLineChars="0"/>
        <w:jc w:val="left"/>
        <w:rPr>
          <w:b/>
          <w:sz w:val="30"/>
        </w:rPr>
      </w:pPr>
      <w:r>
        <w:br w:type="page"/>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三、验收组成员签字表</w:t>
      </w:r>
    </w:p>
    <w:tbl>
      <w:tblPr>
        <w:tblStyle w:val="16"/>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991"/>
        <w:gridCol w:w="3928"/>
        <w:gridCol w:w="853"/>
        <w:gridCol w:w="993"/>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shd w:val="clear" w:color="auto" w:fill="auto"/>
            <w:vAlign w:val="center"/>
          </w:tcPr>
          <w:p>
            <w:pPr>
              <w:widowControl/>
              <w:ind w:firstLine="0" w:firstLineChars="0"/>
              <w:jc w:val="center"/>
            </w:pPr>
            <w:r>
              <w:rPr>
                <w:rFonts w:hint="eastAsia"/>
              </w:rPr>
              <w:t>分工</w:t>
            </w:r>
          </w:p>
        </w:tc>
        <w:tc>
          <w:tcPr>
            <w:tcW w:w="991" w:type="dxa"/>
            <w:vAlign w:val="center"/>
          </w:tcPr>
          <w:p>
            <w:pPr>
              <w:widowControl/>
              <w:ind w:firstLine="0" w:firstLineChars="0"/>
              <w:jc w:val="center"/>
            </w:pPr>
            <w:r>
              <w:rPr>
                <w:rFonts w:hint="eastAsia"/>
              </w:rPr>
              <w:t>姓名</w:t>
            </w:r>
          </w:p>
        </w:tc>
        <w:tc>
          <w:tcPr>
            <w:tcW w:w="3928" w:type="dxa"/>
            <w:vAlign w:val="center"/>
          </w:tcPr>
          <w:p>
            <w:pPr>
              <w:widowControl/>
              <w:ind w:firstLine="0" w:firstLineChars="0"/>
              <w:jc w:val="center"/>
            </w:pPr>
            <w:r>
              <w:rPr>
                <w:rFonts w:hint="eastAsia"/>
              </w:rPr>
              <w:t>单位</w:t>
            </w:r>
          </w:p>
        </w:tc>
        <w:tc>
          <w:tcPr>
            <w:tcW w:w="853" w:type="dxa"/>
            <w:vAlign w:val="center"/>
          </w:tcPr>
          <w:p>
            <w:pPr>
              <w:widowControl/>
              <w:ind w:firstLine="0" w:firstLineChars="0"/>
              <w:jc w:val="center"/>
              <w:rPr>
                <w:rFonts w:ascii="等线" w:hAnsi="等线" w:eastAsia="等线"/>
                <w:color w:val="000000"/>
                <w:sz w:val="22"/>
                <w:szCs w:val="22"/>
              </w:rPr>
            </w:pPr>
            <w:r>
              <w:rPr>
                <w:rFonts w:hint="eastAsia"/>
              </w:rPr>
              <w:t>职务</w:t>
            </w:r>
            <w:r>
              <w:t>/</w:t>
            </w:r>
            <w:r>
              <w:rPr>
                <w:rFonts w:hint="eastAsia"/>
              </w:rPr>
              <w:t>职称</w:t>
            </w:r>
          </w:p>
        </w:tc>
        <w:tc>
          <w:tcPr>
            <w:tcW w:w="993" w:type="dxa"/>
            <w:vAlign w:val="center"/>
          </w:tcPr>
          <w:p>
            <w:pPr>
              <w:widowControl/>
              <w:ind w:firstLine="0" w:firstLineChars="0"/>
              <w:jc w:val="center"/>
            </w:pPr>
            <w:r>
              <w:rPr>
                <w:rFonts w:hint="eastAsia"/>
              </w:rPr>
              <w:t>签字</w:t>
            </w:r>
          </w:p>
        </w:tc>
        <w:tc>
          <w:tcPr>
            <w:tcW w:w="1208" w:type="dxa"/>
            <w:vAlign w:val="center"/>
          </w:tcPr>
          <w:p>
            <w:pPr>
              <w:widowControl/>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vAlign w:val="center"/>
          </w:tcPr>
          <w:p>
            <w:pPr>
              <w:widowControl/>
              <w:ind w:firstLine="0" w:firstLineChars="0"/>
              <w:jc w:val="center"/>
              <w:rPr>
                <w:rFonts w:ascii="等线" w:hAnsi="等线" w:eastAsia="等线"/>
                <w:color w:val="000000"/>
                <w:sz w:val="22"/>
                <w:szCs w:val="22"/>
              </w:rPr>
            </w:pPr>
            <w:r>
              <w:rPr>
                <w:rFonts w:hint="eastAsia"/>
              </w:rPr>
              <w:t>组长</w:t>
            </w:r>
          </w:p>
        </w:tc>
        <w:tc>
          <w:tcPr>
            <w:tcW w:w="991" w:type="dxa"/>
            <w:vAlign w:val="center"/>
          </w:tcPr>
          <w:p>
            <w:pPr>
              <w:ind w:firstLine="440"/>
              <w:jc w:val="center"/>
              <w:rPr>
                <w:rFonts w:ascii="等线" w:hAnsi="等线" w:eastAsia="等线"/>
                <w:color w:val="000000"/>
                <w:sz w:val="22"/>
                <w:szCs w:val="22"/>
              </w:rPr>
            </w:pPr>
          </w:p>
        </w:tc>
        <w:tc>
          <w:tcPr>
            <w:tcW w:w="3928" w:type="dxa"/>
            <w:vAlign w:val="center"/>
          </w:tcPr>
          <w:p>
            <w:pPr>
              <w:jc w:val="both"/>
              <w:rPr>
                <w:rFonts w:eastAsia="Times New Roman"/>
                <w:sz w:val="20"/>
                <w:szCs w:val="20"/>
              </w:rPr>
            </w:pPr>
            <w:r>
              <w:rPr>
                <w:rFonts w:hint="eastAsia"/>
              </w:rPr>
              <w:t>青神县康泰机械有限公司</w:t>
            </w:r>
          </w:p>
        </w:tc>
        <w:tc>
          <w:tcPr>
            <w:tcW w:w="853" w:type="dxa"/>
            <w:vAlign w:val="center"/>
          </w:tcPr>
          <w:p>
            <w:pPr>
              <w:ind w:firstLine="400"/>
              <w:rPr>
                <w:rFonts w:eastAsia="Times New Roman"/>
                <w:sz w:val="20"/>
                <w:szCs w:val="20"/>
              </w:rPr>
            </w:pPr>
          </w:p>
        </w:tc>
        <w:tc>
          <w:tcPr>
            <w:tcW w:w="993" w:type="dxa"/>
            <w:vAlign w:val="center"/>
          </w:tcPr>
          <w:p>
            <w:pPr>
              <w:ind w:firstLine="400"/>
              <w:rPr>
                <w:rFonts w:eastAsia="Times New Roman"/>
                <w:sz w:val="20"/>
                <w:szCs w:val="20"/>
              </w:rPr>
            </w:pPr>
          </w:p>
        </w:tc>
        <w:tc>
          <w:tcPr>
            <w:tcW w:w="1208" w:type="dxa"/>
            <w:vAlign w:val="center"/>
          </w:tcPr>
          <w:p>
            <w:pPr>
              <w:ind w:firstLine="0" w:firstLineChars="0"/>
              <w:rPr>
                <w:rFonts w:ascii="等线" w:hAnsi="等线" w:eastAsia="等线" w:cs="宋体"/>
                <w:color w:val="000000"/>
                <w:sz w:val="22"/>
                <w:szCs w:val="22"/>
              </w:rPr>
            </w:pPr>
            <w:r>
              <w:rPr>
                <w:rFonts w:hint="eastAsia"/>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vMerge w:val="restart"/>
            <w:vAlign w:val="center"/>
          </w:tcPr>
          <w:p>
            <w:pPr>
              <w:bidi w:val="0"/>
              <w:ind w:left="0" w:leftChars="0" w:firstLine="0" w:firstLineChars="0"/>
              <w:rPr>
                <w:rFonts w:hint="eastAsia"/>
                <w:lang w:val="en-US" w:eastAsia="zh-CN"/>
              </w:rPr>
            </w:pPr>
            <w:r>
              <w:rPr>
                <w:rFonts w:hint="eastAsia"/>
                <w:lang w:val="en-US" w:eastAsia="zh-CN"/>
              </w:rPr>
              <w:t>成员</w:t>
            </w:r>
          </w:p>
        </w:tc>
        <w:tc>
          <w:tcPr>
            <w:tcW w:w="991" w:type="dxa"/>
            <w:vAlign w:val="center"/>
          </w:tcPr>
          <w:p>
            <w:pPr>
              <w:ind w:firstLine="440"/>
              <w:jc w:val="center"/>
              <w:rPr>
                <w:rFonts w:ascii="等线" w:hAnsi="等线" w:eastAsia="等线"/>
                <w:color w:val="000000"/>
                <w:sz w:val="22"/>
                <w:szCs w:val="22"/>
              </w:rPr>
            </w:pPr>
          </w:p>
        </w:tc>
        <w:tc>
          <w:tcPr>
            <w:tcW w:w="3928" w:type="dxa"/>
            <w:vAlign w:val="center"/>
          </w:tcPr>
          <w:p>
            <w:pPr>
              <w:ind w:firstLine="400"/>
              <w:rPr>
                <w:rFonts w:eastAsia="Times New Roman"/>
                <w:sz w:val="20"/>
                <w:szCs w:val="20"/>
              </w:rPr>
            </w:pPr>
            <w:r>
              <w:rPr>
                <w:rFonts w:hint="eastAsia"/>
              </w:rPr>
              <w:t>青神县康泰机械有限公司</w:t>
            </w:r>
          </w:p>
        </w:tc>
        <w:tc>
          <w:tcPr>
            <w:tcW w:w="853" w:type="dxa"/>
            <w:vAlign w:val="center"/>
          </w:tcPr>
          <w:p>
            <w:pPr>
              <w:ind w:firstLine="400"/>
              <w:rPr>
                <w:rFonts w:eastAsia="Times New Roman"/>
                <w:sz w:val="20"/>
                <w:szCs w:val="20"/>
              </w:rPr>
            </w:pPr>
          </w:p>
        </w:tc>
        <w:tc>
          <w:tcPr>
            <w:tcW w:w="993" w:type="dxa"/>
            <w:vAlign w:val="center"/>
          </w:tcPr>
          <w:p>
            <w:pPr>
              <w:ind w:firstLine="400"/>
              <w:rPr>
                <w:rFonts w:eastAsia="Times New Roman"/>
                <w:sz w:val="20"/>
                <w:szCs w:val="20"/>
              </w:rPr>
            </w:pPr>
          </w:p>
        </w:tc>
        <w:tc>
          <w:tcPr>
            <w:tcW w:w="1208" w:type="dxa"/>
            <w:vAlign w:val="center"/>
          </w:tcPr>
          <w:p>
            <w:pPr>
              <w:widowControl/>
              <w:ind w:firstLine="0" w:firstLineChars="0"/>
              <w:jc w:val="center"/>
              <w:rPr>
                <w:rFonts w:hint="eastAsia"/>
              </w:rPr>
            </w:pPr>
            <w:r>
              <w:rPr>
                <w:rFonts w:hint="eastAsia"/>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vMerge w:val="continue"/>
            <w:vAlign w:val="center"/>
          </w:tcPr>
          <w:p>
            <w:pPr>
              <w:bidi w:val="0"/>
              <w:ind w:left="0" w:leftChars="0" w:firstLine="0" w:firstLineChars="0"/>
              <w:rPr>
                <w:rFonts w:hint="eastAsia"/>
                <w:lang w:val="en-US" w:eastAsia="zh-CN"/>
              </w:rPr>
            </w:pPr>
          </w:p>
        </w:tc>
        <w:tc>
          <w:tcPr>
            <w:tcW w:w="991" w:type="dxa"/>
            <w:vAlign w:val="center"/>
          </w:tcPr>
          <w:p>
            <w:pPr>
              <w:ind w:firstLine="440"/>
              <w:jc w:val="center"/>
              <w:rPr>
                <w:rFonts w:ascii="等线" w:hAnsi="等线" w:eastAsia="等线"/>
                <w:color w:val="000000"/>
                <w:sz w:val="22"/>
                <w:szCs w:val="22"/>
              </w:rPr>
            </w:pPr>
          </w:p>
        </w:tc>
        <w:tc>
          <w:tcPr>
            <w:tcW w:w="3928" w:type="dxa"/>
            <w:vAlign w:val="center"/>
          </w:tcPr>
          <w:p>
            <w:pPr>
              <w:ind w:left="0" w:leftChars="0" w:firstLine="0" w:firstLineChars="0"/>
              <w:jc w:val="center"/>
              <w:rPr>
                <w:rFonts w:eastAsia="Times New Roman"/>
                <w:sz w:val="20"/>
                <w:szCs w:val="20"/>
              </w:rPr>
            </w:pPr>
            <w:r>
              <w:rPr>
                <w:rFonts w:hint="eastAsia"/>
              </w:rPr>
              <w:t>四川龙瑞工程项目管理有限公司</w:t>
            </w:r>
          </w:p>
        </w:tc>
        <w:tc>
          <w:tcPr>
            <w:tcW w:w="853" w:type="dxa"/>
            <w:vAlign w:val="center"/>
          </w:tcPr>
          <w:p>
            <w:pPr>
              <w:ind w:firstLine="400"/>
              <w:rPr>
                <w:rFonts w:eastAsia="Times New Roman"/>
                <w:sz w:val="20"/>
                <w:szCs w:val="20"/>
              </w:rPr>
            </w:pPr>
          </w:p>
        </w:tc>
        <w:tc>
          <w:tcPr>
            <w:tcW w:w="993" w:type="dxa"/>
            <w:vAlign w:val="center"/>
          </w:tcPr>
          <w:p>
            <w:pPr>
              <w:ind w:firstLine="400"/>
              <w:rPr>
                <w:rFonts w:eastAsia="Times New Roman"/>
                <w:sz w:val="20"/>
                <w:szCs w:val="20"/>
              </w:rPr>
            </w:pPr>
          </w:p>
        </w:tc>
        <w:tc>
          <w:tcPr>
            <w:tcW w:w="1208" w:type="dxa"/>
            <w:vMerge w:val="restart"/>
            <w:vAlign w:val="center"/>
          </w:tcPr>
          <w:p>
            <w:pPr>
              <w:widowControl/>
              <w:ind w:firstLine="0" w:firstLineChars="0"/>
              <w:jc w:val="center"/>
              <w:rPr>
                <w:rFonts w:ascii="等线" w:hAnsi="等线" w:eastAsia="等线" w:cs="宋体"/>
                <w:color w:val="000000"/>
                <w:sz w:val="22"/>
                <w:szCs w:val="22"/>
              </w:rPr>
            </w:pPr>
            <w:r>
              <w:rPr>
                <w:rFonts w:hint="eastAsia"/>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vMerge w:val="continue"/>
            <w:vAlign w:val="center"/>
          </w:tcPr>
          <w:p>
            <w:pPr>
              <w:pStyle w:val="6"/>
            </w:pPr>
          </w:p>
        </w:tc>
        <w:tc>
          <w:tcPr>
            <w:tcW w:w="991" w:type="dxa"/>
            <w:vAlign w:val="center"/>
          </w:tcPr>
          <w:p>
            <w:pPr>
              <w:pStyle w:val="6"/>
              <w:rPr>
                <w:b w:val="0"/>
                <w:bCs/>
              </w:rPr>
            </w:pPr>
          </w:p>
        </w:tc>
        <w:tc>
          <w:tcPr>
            <w:tcW w:w="3928" w:type="dxa"/>
            <w:vAlign w:val="center"/>
          </w:tcPr>
          <w:p>
            <w:pPr>
              <w:bidi w:val="0"/>
              <w:ind w:left="0" w:leftChars="0" w:firstLine="0" w:firstLineChars="0"/>
              <w:jc w:val="center"/>
            </w:pPr>
            <w:r>
              <w:rPr>
                <w:rFonts w:hint="eastAsia"/>
              </w:rPr>
              <w:t>四川龙瑞工程项目管理有限公司</w:t>
            </w:r>
          </w:p>
        </w:tc>
        <w:tc>
          <w:tcPr>
            <w:tcW w:w="853" w:type="dxa"/>
            <w:vAlign w:val="center"/>
          </w:tcPr>
          <w:p>
            <w:pPr>
              <w:pStyle w:val="6"/>
            </w:pPr>
          </w:p>
        </w:tc>
        <w:tc>
          <w:tcPr>
            <w:tcW w:w="993" w:type="dxa"/>
            <w:vAlign w:val="center"/>
          </w:tcPr>
          <w:p>
            <w:pPr>
              <w:pStyle w:val="6"/>
            </w:pPr>
          </w:p>
        </w:tc>
        <w:tc>
          <w:tcPr>
            <w:tcW w:w="1208" w:type="dxa"/>
            <w:vMerge w:val="continue"/>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vMerge w:val="continue"/>
            <w:vAlign w:val="center"/>
          </w:tcPr>
          <w:p>
            <w:pPr>
              <w:ind w:firstLine="440"/>
              <w:rPr>
                <w:rFonts w:ascii="等线" w:hAnsi="等线" w:eastAsia="等线" w:cs="宋体"/>
                <w:color w:val="000000"/>
                <w:sz w:val="22"/>
                <w:szCs w:val="22"/>
              </w:rPr>
            </w:pPr>
          </w:p>
        </w:tc>
        <w:tc>
          <w:tcPr>
            <w:tcW w:w="991" w:type="dxa"/>
            <w:vAlign w:val="center"/>
          </w:tcPr>
          <w:p>
            <w:pPr>
              <w:pStyle w:val="2"/>
              <w:ind w:firstLine="0" w:firstLineChars="0"/>
            </w:pPr>
          </w:p>
        </w:tc>
        <w:tc>
          <w:tcPr>
            <w:tcW w:w="3928" w:type="dxa"/>
            <w:vAlign w:val="center"/>
          </w:tcPr>
          <w:p>
            <w:pPr>
              <w:ind w:left="0" w:leftChars="0" w:firstLine="0" w:firstLineChars="0"/>
              <w:jc w:val="center"/>
              <w:rPr>
                <w:rFonts w:eastAsia="Times New Roman"/>
                <w:sz w:val="20"/>
                <w:szCs w:val="20"/>
              </w:rPr>
            </w:pPr>
            <w:r>
              <w:rPr>
                <w:rFonts w:hint="eastAsia"/>
              </w:rPr>
              <w:t>四川眉山华能工程技术咨询设计有限公司</w:t>
            </w:r>
          </w:p>
        </w:tc>
        <w:tc>
          <w:tcPr>
            <w:tcW w:w="853" w:type="dxa"/>
            <w:vAlign w:val="center"/>
          </w:tcPr>
          <w:p>
            <w:pPr>
              <w:ind w:firstLine="400"/>
              <w:rPr>
                <w:rFonts w:eastAsia="Times New Roman"/>
                <w:sz w:val="20"/>
                <w:szCs w:val="20"/>
              </w:rPr>
            </w:pPr>
          </w:p>
        </w:tc>
        <w:tc>
          <w:tcPr>
            <w:tcW w:w="993" w:type="dxa"/>
            <w:vAlign w:val="center"/>
          </w:tcPr>
          <w:p>
            <w:pPr>
              <w:ind w:firstLine="400"/>
              <w:rPr>
                <w:rFonts w:eastAsia="Times New Roman"/>
                <w:sz w:val="20"/>
                <w:szCs w:val="20"/>
              </w:rPr>
            </w:pPr>
          </w:p>
        </w:tc>
        <w:tc>
          <w:tcPr>
            <w:tcW w:w="1208" w:type="dxa"/>
            <w:vMerge w:val="restart"/>
            <w:vAlign w:val="center"/>
          </w:tcPr>
          <w:p>
            <w:pPr>
              <w:widowControl/>
              <w:ind w:firstLine="0" w:firstLineChars="0"/>
              <w:jc w:val="center"/>
              <w:rPr>
                <w:rFonts w:ascii="等线" w:hAnsi="等线" w:eastAsia="等线" w:cs="宋体"/>
                <w:color w:val="000000"/>
                <w:sz w:val="22"/>
                <w:szCs w:val="22"/>
              </w:rPr>
            </w:pPr>
            <w:r>
              <w:rPr>
                <w:rFonts w:hint="eastAsia"/>
              </w:rPr>
              <w:t>水土保持方案编制单位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vMerge w:val="continue"/>
            <w:vAlign w:val="center"/>
          </w:tcPr>
          <w:p>
            <w:pPr>
              <w:pStyle w:val="6"/>
            </w:pPr>
          </w:p>
        </w:tc>
        <w:tc>
          <w:tcPr>
            <w:tcW w:w="991" w:type="dxa"/>
            <w:vAlign w:val="center"/>
          </w:tcPr>
          <w:p>
            <w:pPr>
              <w:pStyle w:val="6"/>
              <w:rPr>
                <w:b w:val="0"/>
                <w:bCs/>
              </w:rPr>
            </w:pPr>
          </w:p>
        </w:tc>
        <w:tc>
          <w:tcPr>
            <w:tcW w:w="3928" w:type="dxa"/>
            <w:vAlign w:val="center"/>
          </w:tcPr>
          <w:p>
            <w:pPr>
              <w:bidi w:val="0"/>
              <w:ind w:left="1440" w:leftChars="0" w:hanging="1440" w:hangingChars="600"/>
              <w:jc w:val="both"/>
            </w:pPr>
            <w:r>
              <w:rPr>
                <w:rFonts w:hint="eastAsia"/>
              </w:rPr>
              <w:t>四川眉山华能工程技术咨询设计有限公司</w:t>
            </w:r>
          </w:p>
        </w:tc>
        <w:tc>
          <w:tcPr>
            <w:tcW w:w="853" w:type="dxa"/>
            <w:vAlign w:val="center"/>
          </w:tcPr>
          <w:p>
            <w:pPr>
              <w:pStyle w:val="6"/>
            </w:pPr>
          </w:p>
        </w:tc>
        <w:tc>
          <w:tcPr>
            <w:tcW w:w="993" w:type="dxa"/>
            <w:vAlign w:val="center"/>
          </w:tcPr>
          <w:p>
            <w:pPr>
              <w:pStyle w:val="6"/>
            </w:pPr>
          </w:p>
        </w:tc>
        <w:tc>
          <w:tcPr>
            <w:tcW w:w="1208" w:type="dxa"/>
            <w:vMerge w:val="continue"/>
            <w:vAlign w:val="center"/>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vMerge w:val="continue"/>
            <w:vAlign w:val="center"/>
          </w:tcPr>
          <w:p>
            <w:pPr>
              <w:ind w:firstLine="440"/>
              <w:rPr>
                <w:rFonts w:ascii="等线" w:hAnsi="等线" w:eastAsia="等线" w:cs="宋体"/>
                <w:color w:val="000000"/>
                <w:sz w:val="22"/>
                <w:szCs w:val="22"/>
              </w:rPr>
            </w:pPr>
          </w:p>
        </w:tc>
        <w:tc>
          <w:tcPr>
            <w:tcW w:w="991" w:type="dxa"/>
            <w:vAlign w:val="center"/>
          </w:tcPr>
          <w:p>
            <w:pPr>
              <w:ind w:firstLine="400"/>
              <w:rPr>
                <w:rFonts w:eastAsia="Times New Roman"/>
                <w:sz w:val="20"/>
                <w:szCs w:val="20"/>
              </w:rPr>
            </w:pPr>
          </w:p>
        </w:tc>
        <w:tc>
          <w:tcPr>
            <w:tcW w:w="3928" w:type="dxa"/>
            <w:vAlign w:val="center"/>
          </w:tcPr>
          <w:p>
            <w:pPr>
              <w:ind w:firstLine="400"/>
              <w:jc w:val="both"/>
              <w:rPr>
                <w:rFonts w:eastAsia="Times New Roman"/>
                <w:sz w:val="20"/>
                <w:szCs w:val="20"/>
              </w:rPr>
            </w:pPr>
            <w:r>
              <w:rPr>
                <w:rFonts w:hint="eastAsia"/>
                <w:kern w:val="0"/>
              </w:rPr>
              <w:t>广东电白二建集团有限公司</w:t>
            </w:r>
          </w:p>
        </w:tc>
        <w:tc>
          <w:tcPr>
            <w:tcW w:w="853" w:type="dxa"/>
            <w:vAlign w:val="center"/>
          </w:tcPr>
          <w:p>
            <w:pPr>
              <w:ind w:firstLine="400"/>
              <w:rPr>
                <w:rFonts w:eastAsia="Times New Roman"/>
                <w:sz w:val="20"/>
                <w:szCs w:val="20"/>
              </w:rPr>
            </w:pPr>
          </w:p>
        </w:tc>
        <w:tc>
          <w:tcPr>
            <w:tcW w:w="993" w:type="dxa"/>
            <w:vAlign w:val="center"/>
          </w:tcPr>
          <w:p>
            <w:pPr>
              <w:ind w:firstLine="400"/>
              <w:rPr>
                <w:rFonts w:eastAsia="Times New Roman"/>
                <w:sz w:val="20"/>
                <w:szCs w:val="20"/>
              </w:rPr>
            </w:pPr>
          </w:p>
        </w:tc>
        <w:tc>
          <w:tcPr>
            <w:tcW w:w="1208" w:type="dxa"/>
            <w:vMerge w:val="restart"/>
            <w:vAlign w:val="center"/>
          </w:tcPr>
          <w:p>
            <w:pPr>
              <w:widowControl/>
              <w:ind w:firstLine="0" w:firstLineChars="0"/>
              <w:jc w:val="center"/>
            </w:pPr>
            <w:r>
              <w:rPr>
                <w:rFonts w:hint="eastAsia"/>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vMerge w:val="continue"/>
          </w:tcPr>
          <w:p>
            <w:pPr>
              <w:pStyle w:val="6"/>
            </w:pPr>
          </w:p>
        </w:tc>
        <w:tc>
          <w:tcPr>
            <w:tcW w:w="991" w:type="dxa"/>
          </w:tcPr>
          <w:p>
            <w:pPr>
              <w:pStyle w:val="6"/>
            </w:pPr>
          </w:p>
        </w:tc>
        <w:tc>
          <w:tcPr>
            <w:tcW w:w="3928" w:type="dxa"/>
          </w:tcPr>
          <w:p>
            <w:pPr>
              <w:bidi w:val="0"/>
            </w:pPr>
            <w:r>
              <w:rPr>
                <w:rFonts w:hint="eastAsia"/>
              </w:rPr>
              <w:t>广东电白二建集团有限公司</w:t>
            </w:r>
          </w:p>
        </w:tc>
        <w:tc>
          <w:tcPr>
            <w:tcW w:w="853" w:type="dxa"/>
          </w:tcPr>
          <w:p>
            <w:pPr>
              <w:pStyle w:val="6"/>
            </w:pPr>
          </w:p>
        </w:tc>
        <w:tc>
          <w:tcPr>
            <w:tcW w:w="993" w:type="dxa"/>
          </w:tcPr>
          <w:p>
            <w:pPr>
              <w:pStyle w:val="6"/>
            </w:pPr>
          </w:p>
        </w:tc>
        <w:tc>
          <w:tcPr>
            <w:tcW w:w="1208" w:type="dxa"/>
            <w:vMerge w:val="continue"/>
          </w:tcPr>
          <w:p>
            <w:pPr>
              <w:widowControl/>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26" w:type="dxa"/>
            <w:vMerge w:val="continue"/>
          </w:tcPr>
          <w:p>
            <w:pPr>
              <w:pStyle w:val="6"/>
            </w:pPr>
          </w:p>
        </w:tc>
        <w:tc>
          <w:tcPr>
            <w:tcW w:w="991" w:type="dxa"/>
          </w:tcPr>
          <w:p>
            <w:pPr>
              <w:pStyle w:val="6"/>
            </w:pPr>
          </w:p>
        </w:tc>
        <w:tc>
          <w:tcPr>
            <w:tcW w:w="3928" w:type="dxa"/>
          </w:tcPr>
          <w:p>
            <w:pPr>
              <w:bidi w:val="0"/>
              <w:ind w:left="1680" w:leftChars="0" w:hanging="1680" w:hangingChars="700"/>
            </w:pPr>
            <w:r>
              <w:rPr>
                <w:rFonts w:hint="eastAsia"/>
              </w:rPr>
              <w:t>眉山尧路建设工程项目管理有限公司</w:t>
            </w:r>
          </w:p>
        </w:tc>
        <w:tc>
          <w:tcPr>
            <w:tcW w:w="853" w:type="dxa"/>
          </w:tcPr>
          <w:p>
            <w:pPr>
              <w:pStyle w:val="6"/>
            </w:pPr>
          </w:p>
        </w:tc>
        <w:tc>
          <w:tcPr>
            <w:tcW w:w="993" w:type="dxa"/>
          </w:tcPr>
          <w:p>
            <w:pPr>
              <w:pStyle w:val="6"/>
            </w:pPr>
          </w:p>
        </w:tc>
        <w:tc>
          <w:tcPr>
            <w:tcW w:w="1208" w:type="dxa"/>
          </w:tcPr>
          <w:p>
            <w:pPr>
              <w:widowControl/>
              <w:ind w:firstLine="0" w:firstLineChars="0"/>
              <w:jc w:val="center"/>
            </w:pPr>
            <w:r>
              <w:rPr>
                <w:rFonts w:hint="eastAsia"/>
              </w:rPr>
              <w:t>验收报告编制单位</w:t>
            </w:r>
          </w:p>
        </w:tc>
      </w:tr>
    </w:tbl>
    <w:p>
      <w:pPr>
        <w:pStyle w:val="6"/>
      </w:pPr>
      <w:r>
        <w:br w:type="page"/>
      </w:r>
      <w:r>
        <w:t xml:space="preserve"> </w:t>
      </w:r>
    </w:p>
    <w:p>
      <w:pPr>
        <w:pStyle w:val="6"/>
        <w:rPr>
          <w:sz w:val="32"/>
          <w:szCs w:val="32"/>
        </w:rPr>
      </w:pPr>
      <w:r>
        <w:rPr>
          <w:rFonts w:hint="eastAsia"/>
        </w:rPr>
        <w:t>附件：</w:t>
      </w:r>
    </w:p>
    <w:p>
      <w:pPr>
        <w:ind w:firstLine="482"/>
      </w:pPr>
      <w:r>
        <w:rPr>
          <w:rFonts w:hint="eastAsia"/>
          <w:b/>
          <w:bCs/>
        </w:rPr>
        <w:t>附件1：</w:t>
      </w:r>
      <w:r>
        <w:rPr>
          <w:rFonts w:hint="eastAsia"/>
          <w:lang w:eastAsia="zh-CN"/>
        </w:rPr>
        <w:t>青神县康泰机械有限</w:t>
      </w:r>
      <w:r>
        <w:rPr>
          <w:rFonts w:hint="eastAsia"/>
        </w:rPr>
        <w:t>公司《关于</w:t>
      </w:r>
      <w:r>
        <w:rPr>
          <w:rFonts w:hint="eastAsia"/>
          <w:lang w:eastAsia="zh-CN"/>
        </w:rPr>
        <w:t>年产</w:t>
      </w:r>
      <w:r>
        <w:rPr>
          <w:rFonts w:hint="eastAsia"/>
          <w:lang w:val="en-US" w:eastAsia="zh-CN"/>
        </w:rPr>
        <w:t>7000吨机械零部件生产</w:t>
      </w:r>
      <w:r>
        <w:rPr>
          <w:rFonts w:hint="eastAsia"/>
        </w:rPr>
        <w:t>项目《水土保持设施验收鉴定书》、《水土保持设施验收报告》网上公示情况的说明》。</w:t>
      </w:r>
    </w:p>
    <w:p>
      <w:pPr>
        <w:widowControl/>
        <w:ind w:firstLine="0" w:firstLineChars="0"/>
        <w:jc w:val="left"/>
      </w:pPr>
      <w:r>
        <w:br w:type="page"/>
      </w:r>
    </w:p>
    <w:p>
      <w:pPr>
        <w:ind w:firstLine="480"/>
      </w:pPr>
      <w:r>
        <w:rPr>
          <w:rFonts w:hint="eastAsia"/>
        </w:rPr>
        <w:t>附件1</w:t>
      </w:r>
    </w:p>
    <w:p>
      <w:pPr>
        <w:ind w:firstLine="480"/>
      </w:pPr>
    </w:p>
    <w:p>
      <w:pPr>
        <w:ind w:firstLine="480"/>
      </w:pPr>
    </w:p>
    <w:p>
      <w:pPr>
        <w:ind w:firstLine="0" w:firstLineChars="0"/>
      </w:pPr>
    </w:p>
    <w:sectPr>
      <w:headerReference r:id="rId11" w:type="first"/>
      <w:footerReference r:id="rId14" w:type="first"/>
      <w:headerReference r:id="rId9" w:type="default"/>
      <w:footerReference r:id="rId12" w:type="default"/>
      <w:headerReference r:id="rId10" w:type="even"/>
      <w:footerReference r:id="rId13" w:type="even"/>
      <w:pgSz w:w="11906" w:h="16838"/>
      <w:pgMar w:top="1418" w:right="1644" w:bottom="1418" w:left="1644" w:header="794" w:footer="907" w:gutter="0"/>
      <w:cols w:space="425"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4C"/>
    <w:rsid w:val="00000C17"/>
    <w:rsid w:val="00025A73"/>
    <w:rsid w:val="00027908"/>
    <w:rsid w:val="00034E48"/>
    <w:rsid w:val="0003642A"/>
    <w:rsid w:val="000458A5"/>
    <w:rsid w:val="000643A8"/>
    <w:rsid w:val="00076449"/>
    <w:rsid w:val="00086139"/>
    <w:rsid w:val="000B29E8"/>
    <w:rsid w:val="000B4F10"/>
    <w:rsid w:val="000C0C17"/>
    <w:rsid w:val="000C1C7D"/>
    <w:rsid w:val="000C311C"/>
    <w:rsid w:val="000C5056"/>
    <w:rsid w:val="000E3C93"/>
    <w:rsid w:val="000F24ED"/>
    <w:rsid w:val="00103CDC"/>
    <w:rsid w:val="001067A0"/>
    <w:rsid w:val="0011089D"/>
    <w:rsid w:val="00112395"/>
    <w:rsid w:val="00112E54"/>
    <w:rsid w:val="0012259D"/>
    <w:rsid w:val="0012392E"/>
    <w:rsid w:val="001310E2"/>
    <w:rsid w:val="00134014"/>
    <w:rsid w:val="00135555"/>
    <w:rsid w:val="00146F70"/>
    <w:rsid w:val="00156AB5"/>
    <w:rsid w:val="00156CFB"/>
    <w:rsid w:val="00174FAA"/>
    <w:rsid w:val="00176675"/>
    <w:rsid w:val="001A4DBA"/>
    <w:rsid w:val="001A58AA"/>
    <w:rsid w:val="001A6F1F"/>
    <w:rsid w:val="001C47CB"/>
    <w:rsid w:val="001D0E89"/>
    <w:rsid w:val="001D121A"/>
    <w:rsid w:val="001D1A5B"/>
    <w:rsid w:val="001D78DF"/>
    <w:rsid w:val="001E1BAA"/>
    <w:rsid w:val="001F1742"/>
    <w:rsid w:val="001F44B3"/>
    <w:rsid w:val="001F7449"/>
    <w:rsid w:val="00216923"/>
    <w:rsid w:val="002214C2"/>
    <w:rsid w:val="00231BEC"/>
    <w:rsid w:val="00243533"/>
    <w:rsid w:val="00281636"/>
    <w:rsid w:val="00281BD6"/>
    <w:rsid w:val="00291858"/>
    <w:rsid w:val="00296191"/>
    <w:rsid w:val="002A73B8"/>
    <w:rsid w:val="002B04B9"/>
    <w:rsid w:val="002B77EA"/>
    <w:rsid w:val="002C14B4"/>
    <w:rsid w:val="002C4F7E"/>
    <w:rsid w:val="002E498B"/>
    <w:rsid w:val="002E6791"/>
    <w:rsid w:val="00301009"/>
    <w:rsid w:val="003105AE"/>
    <w:rsid w:val="00326203"/>
    <w:rsid w:val="00330027"/>
    <w:rsid w:val="00336D25"/>
    <w:rsid w:val="00341489"/>
    <w:rsid w:val="00343D89"/>
    <w:rsid w:val="003723B7"/>
    <w:rsid w:val="003855A4"/>
    <w:rsid w:val="003943F9"/>
    <w:rsid w:val="0039732A"/>
    <w:rsid w:val="003A38CE"/>
    <w:rsid w:val="003A6278"/>
    <w:rsid w:val="003A7DD2"/>
    <w:rsid w:val="003C07DB"/>
    <w:rsid w:val="003C1265"/>
    <w:rsid w:val="003E4C89"/>
    <w:rsid w:val="0041424D"/>
    <w:rsid w:val="00415EA6"/>
    <w:rsid w:val="00435D4C"/>
    <w:rsid w:val="00436E0D"/>
    <w:rsid w:val="004540DE"/>
    <w:rsid w:val="004765B5"/>
    <w:rsid w:val="0047732F"/>
    <w:rsid w:val="00481C1D"/>
    <w:rsid w:val="004830F3"/>
    <w:rsid w:val="00490116"/>
    <w:rsid w:val="00492364"/>
    <w:rsid w:val="00492FF7"/>
    <w:rsid w:val="00494C22"/>
    <w:rsid w:val="00494FD5"/>
    <w:rsid w:val="004B48C2"/>
    <w:rsid w:val="004B5A37"/>
    <w:rsid w:val="004C6C67"/>
    <w:rsid w:val="004D1317"/>
    <w:rsid w:val="004D632F"/>
    <w:rsid w:val="004E362F"/>
    <w:rsid w:val="004E71E3"/>
    <w:rsid w:val="00511420"/>
    <w:rsid w:val="0052418A"/>
    <w:rsid w:val="00533AB9"/>
    <w:rsid w:val="005402AD"/>
    <w:rsid w:val="00542781"/>
    <w:rsid w:val="005505DA"/>
    <w:rsid w:val="005732FE"/>
    <w:rsid w:val="00574185"/>
    <w:rsid w:val="00576DB2"/>
    <w:rsid w:val="00580728"/>
    <w:rsid w:val="00580D1D"/>
    <w:rsid w:val="005850AC"/>
    <w:rsid w:val="00587D1E"/>
    <w:rsid w:val="00594DF9"/>
    <w:rsid w:val="0059700E"/>
    <w:rsid w:val="005A5799"/>
    <w:rsid w:val="005B68EA"/>
    <w:rsid w:val="005C44B6"/>
    <w:rsid w:val="005F57C7"/>
    <w:rsid w:val="00600ECE"/>
    <w:rsid w:val="00612DB6"/>
    <w:rsid w:val="006166AE"/>
    <w:rsid w:val="006262E4"/>
    <w:rsid w:val="006408ED"/>
    <w:rsid w:val="00644910"/>
    <w:rsid w:val="00671B66"/>
    <w:rsid w:val="0068237B"/>
    <w:rsid w:val="006A0048"/>
    <w:rsid w:val="006A7D26"/>
    <w:rsid w:val="006B55A6"/>
    <w:rsid w:val="006C0CFB"/>
    <w:rsid w:val="006C19CF"/>
    <w:rsid w:val="006D3C30"/>
    <w:rsid w:val="006D472E"/>
    <w:rsid w:val="006E5729"/>
    <w:rsid w:val="006E5CD0"/>
    <w:rsid w:val="006F3B4C"/>
    <w:rsid w:val="006F3BEC"/>
    <w:rsid w:val="006F74C0"/>
    <w:rsid w:val="00717128"/>
    <w:rsid w:val="0072271B"/>
    <w:rsid w:val="00726639"/>
    <w:rsid w:val="00730873"/>
    <w:rsid w:val="00733838"/>
    <w:rsid w:val="00733FD0"/>
    <w:rsid w:val="0073434D"/>
    <w:rsid w:val="007479BD"/>
    <w:rsid w:val="0075293A"/>
    <w:rsid w:val="0076258B"/>
    <w:rsid w:val="00764D72"/>
    <w:rsid w:val="007724C5"/>
    <w:rsid w:val="00787450"/>
    <w:rsid w:val="007A3B7B"/>
    <w:rsid w:val="007C035D"/>
    <w:rsid w:val="007C2E4F"/>
    <w:rsid w:val="007D4363"/>
    <w:rsid w:val="007F3DB3"/>
    <w:rsid w:val="007F6483"/>
    <w:rsid w:val="0080060F"/>
    <w:rsid w:val="00810BCA"/>
    <w:rsid w:val="008166B4"/>
    <w:rsid w:val="00824BBB"/>
    <w:rsid w:val="00827AA4"/>
    <w:rsid w:val="00857D3F"/>
    <w:rsid w:val="00867A1E"/>
    <w:rsid w:val="00870828"/>
    <w:rsid w:val="00870A15"/>
    <w:rsid w:val="00875A81"/>
    <w:rsid w:val="008764C6"/>
    <w:rsid w:val="00881965"/>
    <w:rsid w:val="008A3A84"/>
    <w:rsid w:val="008B2643"/>
    <w:rsid w:val="008B3883"/>
    <w:rsid w:val="008C1CAC"/>
    <w:rsid w:val="008C2192"/>
    <w:rsid w:val="008C2206"/>
    <w:rsid w:val="008C3DDC"/>
    <w:rsid w:val="008C6071"/>
    <w:rsid w:val="008D009F"/>
    <w:rsid w:val="008D3149"/>
    <w:rsid w:val="008D689E"/>
    <w:rsid w:val="008E29AF"/>
    <w:rsid w:val="00902A20"/>
    <w:rsid w:val="00915F3A"/>
    <w:rsid w:val="00941D3A"/>
    <w:rsid w:val="009427D3"/>
    <w:rsid w:val="00961703"/>
    <w:rsid w:val="009734C5"/>
    <w:rsid w:val="009748C1"/>
    <w:rsid w:val="00974CF2"/>
    <w:rsid w:val="00995FDB"/>
    <w:rsid w:val="009A40E1"/>
    <w:rsid w:val="009A4B28"/>
    <w:rsid w:val="009A6A83"/>
    <w:rsid w:val="009B0792"/>
    <w:rsid w:val="009B3598"/>
    <w:rsid w:val="009B4C6A"/>
    <w:rsid w:val="009B4E41"/>
    <w:rsid w:val="009E3680"/>
    <w:rsid w:val="009E5DDC"/>
    <w:rsid w:val="009F5A23"/>
    <w:rsid w:val="009F5B6B"/>
    <w:rsid w:val="009F78A1"/>
    <w:rsid w:val="00A0222D"/>
    <w:rsid w:val="00A023D7"/>
    <w:rsid w:val="00A17579"/>
    <w:rsid w:val="00A241E0"/>
    <w:rsid w:val="00A27EF8"/>
    <w:rsid w:val="00A332B9"/>
    <w:rsid w:val="00A34052"/>
    <w:rsid w:val="00A350C4"/>
    <w:rsid w:val="00A376F4"/>
    <w:rsid w:val="00A711BC"/>
    <w:rsid w:val="00A73A0F"/>
    <w:rsid w:val="00A83A01"/>
    <w:rsid w:val="00A95061"/>
    <w:rsid w:val="00A96B36"/>
    <w:rsid w:val="00AB09D6"/>
    <w:rsid w:val="00AC395F"/>
    <w:rsid w:val="00AE0B09"/>
    <w:rsid w:val="00AE4646"/>
    <w:rsid w:val="00AF0ED0"/>
    <w:rsid w:val="00B00A8E"/>
    <w:rsid w:val="00B2667F"/>
    <w:rsid w:val="00B3292C"/>
    <w:rsid w:val="00B5325D"/>
    <w:rsid w:val="00B70B17"/>
    <w:rsid w:val="00B73D25"/>
    <w:rsid w:val="00B825D4"/>
    <w:rsid w:val="00B83447"/>
    <w:rsid w:val="00B96EE2"/>
    <w:rsid w:val="00BA2FCA"/>
    <w:rsid w:val="00BB1DC8"/>
    <w:rsid w:val="00BC5002"/>
    <w:rsid w:val="00BE0454"/>
    <w:rsid w:val="00BE3559"/>
    <w:rsid w:val="00BE3D3F"/>
    <w:rsid w:val="00BE6B4F"/>
    <w:rsid w:val="00C04EB5"/>
    <w:rsid w:val="00C1054A"/>
    <w:rsid w:val="00C14E61"/>
    <w:rsid w:val="00C1743B"/>
    <w:rsid w:val="00C17F85"/>
    <w:rsid w:val="00C217C2"/>
    <w:rsid w:val="00C232CB"/>
    <w:rsid w:val="00C237F8"/>
    <w:rsid w:val="00C249DC"/>
    <w:rsid w:val="00C24BE5"/>
    <w:rsid w:val="00C26322"/>
    <w:rsid w:val="00C27446"/>
    <w:rsid w:val="00C359BD"/>
    <w:rsid w:val="00C35D06"/>
    <w:rsid w:val="00C4599D"/>
    <w:rsid w:val="00C74E2A"/>
    <w:rsid w:val="00C9412C"/>
    <w:rsid w:val="00C9775B"/>
    <w:rsid w:val="00CB07CD"/>
    <w:rsid w:val="00CB24D6"/>
    <w:rsid w:val="00CC1E4F"/>
    <w:rsid w:val="00CE0D2D"/>
    <w:rsid w:val="00D05CE6"/>
    <w:rsid w:val="00D10A8B"/>
    <w:rsid w:val="00D14A29"/>
    <w:rsid w:val="00D203F0"/>
    <w:rsid w:val="00D20B58"/>
    <w:rsid w:val="00D344FF"/>
    <w:rsid w:val="00D40C24"/>
    <w:rsid w:val="00D517E8"/>
    <w:rsid w:val="00D55AE5"/>
    <w:rsid w:val="00D672E9"/>
    <w:rsid w:val="00D96201"/>
    <w:rsid w:val="00D9719C"/>
    <w:rsid w:val="00DA4685"/>
    <w:rsid w:val="00DA6A3F"/>
    <w:rsid w:val="00DC0047"/>
    <w:rsid w:val="00DC47A7"/>
    <w:rsid w:val="00DD59C1"/>
    <w:rsid w:val="00DE12B2"/>
    <w:rsid w:val="00DF509E"/>
    <w:rsid w:val="00E37381"/>
    <w:rsid w:val="00E43351"/>
    <w:rsid w:val="00E54067"/>
    <w:rsid w:val="00E57525"/>
    <w:rsid w:val="00E61539"/>
    <w:rsid w:val="00E64CDA"/>
    <w:rsid w:val="00E67F11"/>
    <w:rsid w:val="00E75EA8"/>
    <w:rsid w:val="00E825E6"/>
    <w:rsid w:val="00E9444A"/>
    <w:rsid w:val="00E97F0E"/>
    <w:rsid w:val="00EA4926"/>
    <w:rsid w:val="00EC7D31"/>
    <w:rsid w:val="00ED61A3"/>
    <w:rsid w:val="00ED70D3"/>
    <w:rsid w:val="00EE5C8A"/>
    <w:rsid w:val="00EF6904"/>
    <w:rsid w:val="00F10878"/>
    <w:rsid w:val="00F2679B"/>
    <w:rsid w:val="00F26EB7"/>
    <w:rsid w:val="00F36575"/>
    <w:rsid w:val="00F37849"/>
    <w:rsid w:val="00F5315E"/>
    <w:rsid w:val="00F65B7B"/>
    <w:rsid w:val="00F8324D"/>
    <w:rsid w:val="00F90B6A"/>
    <w:rsid w:val="00FA6578"/>
    <w:rsid w:val="00FA76C8"/>
    <w:rsid w:val="00FB7913"/>
    <w:rsid w:val="00FC3A99"/>
    <w:rsid w:val="00FC4CC9"/>
    <w:rsid w:val="00FE725B"/>
    <w:rsid w:val="00FF2624"/>
    <w:rsid w:val="058D171D"/>
    <w:rsid w:val="0C817E0C"/>
    <w:rsid w:val="0F422765"/>
    <w:rsid w:val="187D418C"/>
    <w:rsid w:val="2CB7017C"/>
    <w:rsid w:val="37267067"/>
    <w:rsid w:val="39020D79"/>
    <w:rsid w:val="3926392F"/>
    <w:rsid w:val="395A5750"/>
    <w:rsid w:val="46A00E91"/>
    <w:rsid w:val="5214083A"/>
    <w:rsid w:val="59F97FF4"/>
    <w:rsid w:val="5A3774D0"/>
    <w:rsid w:val="674C09AA"/>
    <w:rsid w:val="67CE6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kern w:val="2"/>
      <w:sz w:val="24"/>
      <w:szCs w:val="28"/>
      <w:lang w:val="en-US" w:eastAsia="zh-CN" w:bidi="ar-SA"/>
    </w:rPr>
  </w:style>
  <w:style w:type="paragraph" w:styleId="4">
    <w:name w:val="heading 1"/>
    <w:basedOn w:val="1"/>
    <w:next w:val="1"/>
    <w:link w:val="19"/>
    <w:qFormat/>
    <w:uiPriority w:val="9"/>
    <w:pPr>
      <w:ind w:firstLine="0" w:firstLineChars="0"/>
      <w:jc w:val="center"/>
      <w:outlineLvl w:val="0"/>
    </w:pPr>
    <w:rPr>
      <w:b/>
      <w:sz w:val="36"/>
    </w:rPr>
  </w:style>
  <w:style w:type="paragraph" w:styleId="5">
    <w:name w:val="heading 2"/>
    <w:basedOn w:val="1"/>
    <w:next w:val="1"/>
    <w:link w:val="20"/>
    <w:unhideWhenUsed/>
    <w:qFormat/>
    <w:uiPriority w:val="9"/>
    <w:pPr>
      <w:spacing w:line="560" w:lineRule="exact"/>
      <w:ind w:firstLine="0" w:firstLineChars="0"/>
      <w:outlineLvl w:val="1"/>
    </w:pPr>
    <w:rPr>
      <w:b/>
      <w:sz w:val="32"/>
    </w:rPr>
  </w:style>
  <w:style w:type="paragraph" w:styleId="6">
    <w:name w:val="heading 3"/>
    <w:basedOn w:val="1"/>
    <w:next w:val="1"/>
    <w:link w:val="24"/>
    <w:unhideWhenUsed/>
    <w:qFormat/>
    <w:uiPriority w:val="9"/>
    <w:pPr>
      <w:spacing w:line="520" w:lineRule="exact"/>
      <w:ind w:firstLine="0" w:firstLineChars="0"/>
      <w:outlineLvl w:val="2"/>
    </w:pPr>
    <w:rPr>
      <w:b/>
      <w:sz w:val="30"/>
    </w:rPr>
  </w:style>
  <w:style w:type="paragraph" w:styleId="7">
    <w:name w:val="heading 4"/>
    <w:basedOn w:val="1"/>
    <w:next w:val="1"/>
    <w:link w:val="23"/>
    <w:unhideWhenUsed/>
    <w:qFormat/>
    <w:uiPriority w:val="9"/>
    <w:pPr>
      <w:spacing w:line="480" w:lineRule="exact"/>
      <w:ind w:firstLine="0" w:firstLineChars="0"/>
      <w:outlineLvl w:val="3"/>
    </w:pPr>
    <w:rPr>
      <w:b/>
      <w:sz w:val="28"/>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3"/>
    <w:unhideWhenUsed/>
    <w:qFormat/>
    <w:uiPriority w:val="99"/>
    <w:pPr>
      <w:spacing w:line="440" w:lineRule="exact"/>
      <w:ind w:firstLine="420" w:firstLineChars="100"/>
    </w:pPr>
    <w:rPr>
      <w:rFonts w:eastAsia="宋体"/>
    </w:rPr>
  </w:style>
  <w:style w:type="paragraph" w:styleId="3">
    <w:name w:val="Body Text"/>
    <w:basedOn w:val="1"/>
    <w:link w:val="42"/>
    <w:semiHidden/>
    <w:unhideWhenUsed/>
    <w:qFormat/>
    <w:uiPriority w:val="99"/>
    <w:pPr>
      <w:spacing w:after="120"/>
    </w:pPr>
  </w:style>
  <w:style w:type="paragraph" w:styleId="8">
    <w:name w:val="Balloon Text"/>
    <w:basedOn w:val="1"/>
    <w:link w:val="44"/>
    <w:semiHidden/>
    <w:unhideWhenUsed/>
    <w:qFormat/>
    <w:uiPriority w:val="99"/>
    <w:rPr>
      <w:sz w:val="18"/>
      <w:szCs w:val="18"/>
    </w:rPr>
  </w:style>
  <w:style w:type="paragraph" w:styleId="9">
    <w:name w:val="footer"/>
    <w:basedOn w:val="1"/>
    <w:link w:val="29"/>
    <w:unhideWhenUsed/>
    <w:qFormat/>
    <w:uiPriority w:val="99"/>
    <w:pPr>
      <w:tabs>
        <w:tab w:val="center" w:pos="4153"/>
        <w:tab w:val="right" w:pos="8306"/>
      </w:tabs>
      <w:snapToGrid w:val="0"/>
      <w:spacing w:line="240" w:lineRule="atLeast"/>
      <w:ind w:firstLine="0" w:firstLineChars="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spacing w:line="240" w:lineRule="atLeast"/>
      <w:ind w:firstLine="0" w:firstLineChars="0"/>
      <w:jc w:val="center"/>
    </w:pPr>
    <w:rPr>
      <w:sz w:val="18"/>
      <w:szCs w:val="18"/>
    </w:rPr>
  </w:style>
  <w:style w:type="paragraph" w:styleId="11">
    <w:name w:val="toc 1"/>
    <w:basedOn w:val="1"/>
    <w:next w:val="1"/>
    <w:unhideWhenUsed/>
    <w:qFormat/>
    <w:uiPriority w:val="39"/>
    <w:pPr>
      <w:tabs>
        <w:tab w:val="right" w:leader="dot" w:pos="8608"/>
      </w:tabs>
      <w:ind w:firstLine="480"/>
    </w:pPr>
    <w:rPr>
      <w:b/>
    </w:rPr>
  </w:style>
  <w:style w:type="paragraph" w:styleId="12">
    <w:name w:val="Subtitle"/>
    <w:basedOn w:val="1"/>
    <w:next w:val="1"/>
    <w:link w:val="22"/>
    <w:qFormat/>
    <w:uiPriority w:val="11"/>
    <w:pPr>
      <w:spacing w:before="240" w:after="60" w:line="312" w:lineRule="auto"/>
      <w:jc w:val="center"/>
      <w:outlineLvl w:val="1"/>
    </w:pPr>
    <w:rPr>
      <w:b/>
      <w:bCs/>
      <w:kern w:val="28"/>
      <w:sz w:val="32"/>
      <w:szCs w:val="32"/>
    </w:rPr>
  </w:style>
  <w:style w:type="paragraph" w:styleId="13">
    <w:name w:val="toc 2"/>
    <w:basedOn w:val="1"/>
    <w:next w:val="1"/>
    <w:unhideWhenUsed/>
    <w:qFormat/>
    <w:uiPriority w:val="39"/>
    <w:pPr>
      <w:tabs>
        <w:tab w:val="right" w:leader="dot" w:pos="8608"/>
      </w:tabs>
      <w:spacing w:line="360" w:lineRule="exact"/>
      <w:ind w:left="480" w:leftChars="200" w:firstLine="240" w:firstLineChars="100"/>
    </w:pPr>
  </w:style>
  <w:style w:type="paragraph" w:styleId="14">
    <w:name w:val="Title"/>
    <w:basedOn w:val="1"/>
    <w:next w:val="1"/>
    <w:link w:val="21"/>
    <w:qFormat/>
    <w:uiPriority w:val="10"/>
    <w:pPr>
      <w:spacing w:before="240" w:after="60"/>
      <w:jc w:val="center"/>
      <w:outlineLvl w:val="0"/>
    </w:pPr>
    <w:rPr>
      <w:rFonts w:asciiTheme="majorHAnsi" w:hAnsiTheme="majorHAnsi" w:eastAsiaTheme="majorEastAsia" w:cstheme="majorBidi"/>
      <w:b/>
      <w:bCs/>
      <w:sz w:val="32"/>
      <w:szCs w:val="32"/>
    </w:rPr>
  </w:style>
  <w:style w:type="table" w:styleId="16">
    <w:name w:val="Table Grid"/>
    <w:basedOn w:val="1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标题 1 字符"/>
    <w:basedOn w:val="17"/>
    <w:link w:val="4"/>
    <w:qFormat/>
    <w:uiPriority w:val="9"/>
    <w:rPr>
      <w:rFonts w:ascii="Times New Roman" w:hAnsi="Times New Roman" w:eastAsia="宋体" w:cs="Times New Roman"/>
      <w:b/>
      <w:sz w:val="36"/>
      <w:szCs w:val="28"/>
    </w:rPr>
  </w:style>
  <w:style w:type="character" w:customStyle="1" w:styleId="20">
    <w:name w:val="标题 2 字符"/>
    <w:basedOn w:val="17"/>
    <w:link w:val="5"/>
    <w:qFormat/>
    <w:uiPriority w:val="9"/>
    <w:rPr>
      <w:rFonts w:ascii="Times New Roman" w:hAnsi="Times New Roman" w:eastAsia="宋体" w:cs="Times New Roman"/>
      <w:b/>
      <w:sz w:val="32"/>
      <w:szCs w:val="28"/>
    </w:rPr>
  </w:style>
  <w:style w:type="character" w:customStyle="1" w:styleId="21">
    <w:name w:val="标题 字符"/>
    <w:basedOn w:val="17"/>
    <w:link w:val="14"/>
    <w:qFormat/>
    <w:uiPriority w:val="10"/>
    <w:rPr>
      <w:rFonts w:asciiTheme="majorHAnsi" w:hAnsiTheme="majorHAnsi" w:eastAsiaTheme="majorEastAsia" w:cstheme="majorBidi"/>
      <w:b/>
      <w:bCs/>
      <w:sz w:val="32"/>
      <w:szCs w:val="32"/>
    </w:rPr>
  </w:style>
  <w:style w:type="character" w:customStyle="1" w:styleId="22">
    <w:name w:val="副标题 字符"/>
    <w:basedOn w:val="17"/>
    <w:link w:val="12"/>
    <w:qFormat/>
    <w:uiPriority w:val="11"/>
    <w:rPr>
      <w:b/>
      <w:bCs/>
      <w:kern w:val="28"/>
      <w:sz w:val="32"/>
      <w:szCs w:val="32"/>
    </w:rPr>
  </w:style>
  <w:style w:type="character" w:customStyle="1" w:styleId="23">
    <w:name w:val="标题 4 字符"/>
    <w:basedOn w:val="17"/>
    <w:link w:val="7"/>
    <w:qFormat/>
    <w:uiPriority w:val="9"/>
    <w:rPr>
      <w:rFonts w:ascii="Times New Roman" w:hAnsi="Times New Roman" w:eastAsia="宋体" w:cs="Times New Roman"/>
      <w:b/>
      <w:sz w:val="28"/>
      <w:szCs w:val="30"/>
    </w:rPr>
  </w:style>
  <w:style w:type="character" w:customStyle="1" w:styleId="24">
    <w:name w:val="标题 3 字符"/>
    <w:basedOn w:val="17"/>
    <w:link w:val="6"/>
    <w:qFormat/>
    <w:uiPriority w:val="9"/>
    <w:rPr>
      <w:rFonts w:ascii="Times New Roman" w:hAnsi="Times New Roman" w:eastAsia="宋体" w:cs="Times New Roman"/>
      <w:b/>
      <w:sz w:val="30"/>
      <w:szCs w:val="28"/>
    </w:rPr>
  </w:style>
  <w:style w:type="character" w:customStyle="1" w:styleId="25">
    <w:name w:val="希腊字母 字符"/>
    <w:basedOn w:val="17"/>
    <w:link w:val="26"/>
    <w:qFormat/>
    <w:uiPriority w:val="0"/>
    <w:rPr>
      <w:rFonts w:ascii="Cambria Math" w:hAnsi="Cambria Math" w:eastAsia="Cambria" w:cs="Times New Roman"/>
      <w:bCs/>
      <w:i/>
      <w:sz w:val="24"/>
      <w:szCs w:val="28"/>
    </w:rPr>
  </w:style>
  <w:style w:type="paragraph" w:customStyle="1" w:styleId="26">
    <w:name w:val="希腊字母"/>
    <w:basedOn w:val="1"/>
    <w:next w:val="1"/>
    <w:link w:val="25"/>
    <w:qFormat/>
    <w:uiPriority w:val="0"/>
    <w:pPr>
      <w:ind w:firstLine="0" w:firstLineChars="0"/>
      <w:jc w:val="center"/>
    </w:pPr>
    <w:rPr>
      <w:rFonts w:ascii="Cambria Math" w:hAnsi="Cambria Math" w:eastAsia="Cambria"/>
      <w:bCs/>
      <w:i/>
    </w:rPr>
  </w:style>
  <w:style w:type="paragraph" w:styleId="27">
    <w:name w:val="No Spacing"/>
    <w:basedOn w:val="1"/>
    <w:next w:val="1"/>
    <w:link w:val="32"/>
    <w:qFormat/>
    <w:uiPriority w:val="1"/>
    <w:pPr>
      <w:spacing w:line="240" w:lineRule="exact"/>
      <w:ind w:firstLine="0" w:firstLineChars="0"/>
      <w:jc w:val="center"/>
    </w:pPr>
    <w:rPr>
      <w:sz w:val="18"/>
    </w:rPr>
  </w:style>
  <w:style w:type="character" w:customStyle="1" w:styleId="28">
    <w:name w:val="页眉 字符"/>
    <w:basedOn w:val="17"/>
    <w:link w:val="10"/>
    <w:qFormat/>
    <w:uiPriority w:val="99"/>
    <w:rPr>
      <w:rFonts w:ascii="Times New Roman" w:hAnsi="Times New Roman" w:eastAsia="仿宋_GB2312" w:cs="Times New Roman"/>
      <w:sz w:val="18"/>
      <w:szCs w:val="18"/>
    </w:rPr>
  </w:style>
  <w:style w:type="character" w:customStyle="1" w:styleId="29">
    <w:name w:val="页脚 字符"/>
    <w:basedOn w:val="17"/>
    <w:link w:val="9"/>
    <w:qFormat/>
    <w:uiPriority w:val="99"/>
    <w:rPr>
      <w:rFonts w:ascii="Times New Roman" w:hAnsi="Times New Roman" w:eastAsia="仿宋_GB2312" w:cs="Times New Roman"/>
      <w:sz w:val="18"/>
      <w:szCs w:val="18"/>
    </w:rPr>
  </w:style>
  <w:style w:type="paragraph" w:customStyle="1" w:styleId="30">
    <w:name w:val="样式2"/>
    <w:basedOn w:val="6"/>
    <w:qFormat/>
    <w:uiPriority w:val="0"/>
    <w:pPr>
      <w:keepNext/>
      <w:keepLines/>
      <w:spacing w:line="360" w:lineRule="auto"/>
      <w:outlineLvl w:val="0"/>
    </w:pPr>
    <w:rPr>
      <w:b w:val="0"/>
      <w:bCs/>
    </w:rPr>
  </w:style>
  <w:style w:type="character" w:customStyle="1" w:styleId="31">
    <w:name w:val="不明显强调1"/>
    <w:basedOn w:val="17"/>
    <w:qFormat/>
    <w:uiPriority w:val="19"/>
    <w:rPr>
      <w:i/>
      <w:iCs/>
      <w:color w:val="404040" w:themeColor="text1" w:themeTint="BF"/>
      <w14:textFill>
        <w14:solidFill>
          <w14:schemeClr w14:val="tx1">
            <w14:lumMod w14:val="75000"/>
            <w14:lumOff w14:val="25000"/>
          </w14:schemeClr>
        </w14:solidFill>
      </w14:textFill>
    </w:rPr>
  </w:style>
  <w:style w:type="character" w:customStyle="1" w:styleId="32">
    <w:name w:val="无间隔 字符"/>
    <w:basedOn w:val="17"/>
    <w:link w:val="27"/>
    <w:qFormat/>
    <w:uiPriority w:val="1"/>
    <w:rPr>
      <w:rFonts w:ascii="Times New Roman" w:hAnsi="Times New Roman" w:eastAsia="宋体" w:cs="Times New Roman"/>
      <w:sz w:val="18"/>
      <w:szCs w:val="28"/>
    </w:rPr>
  </w:style>
  <w:style w:type="table" w:customStyle="1" w:styleId="33">
    <w:name w:val="网格型浅色1"/>
    <w:basedOn w:val="15"/>
    <w:qFormat/>
    <w:uiPriority w:val="40"/>
    <w:pPr>
      <w:jc w:val="center"/>
    </w:pPr>
    <w:rPr>
      <w:rFonts w:eastAsia="宋体"/>
      <w:sz w:val="18"/>
    </w:rPr>
    <w:tblPr>
      <w:jc w:val="center"/>
      <w:tblBorders>
        <w:top w:val="single" w:color="auto" w:sz="12" w:space="0"/>
        <w:bottom w:val="single" w:color="auto" w:sz="12" w:space="0"/>
      </w:tblBorders>
      <w:tblLayout w:type="fixed"/>
      <w:tblCellMar>
        <w:left w:w="0" w:type="dxa"/>
        <w:right w:w="0" w:type="dxa"/>
      </w:tblCellMar>
    </w:tblPr>
    <w:trPr>
      <w:jc w:val="center"/>
    </w:trPr>
    <w:tcPr>
      <w:vAlign w:val="center"/>
    </w:tcPr>
    <w:tblStylePr w:type="firstRow">
      <w:tcPr>
        <w:tcBorders>
          <w:top w:val="single" w:color="auto" w:sz="12" w:space="0"/>
          <w:left w:val="nil"/>
          <w:bottom w:val="single" w:color="auto" w:sz="8" w:space="0"/>
          <w:right w:val="nil"/>
          <w:insideH w:val="nil"/>
          <w:insideV w:val="nil"/>
          <w:tl2br w:val="nil"/>
          <w:tr2bl w:val="nil"/>
        </w:tcBorders>
      </w:tcPr>
    </w:tblStylePr>
  </w:style>
  <w:style w:type="table" w:customStyle="1" w:styleId="34">
    <w:name w:val="三线表"/>
    <w:basedOn w:val="15"/>
    <w:qFormat/>
    <w:uiPriority w:val="99"/>
    <w:pPr>
      <w:spacing w:line="240" w:lineRule="atLeast"/>
      <w:jc w:val="center"/>
    </w:pPr>
    <w:rPr>
      <w:rFonts w:ascii="Times New Roman" w:hAnsi="Times New Roman" w:eastAsia="宋体"/>
      <w:sz w:val="18"/>
    </w:rPr>
    <w:tblPr>
      <w:tblBorders>
        <w:top w:val="single" w:color="auto" w:sz="12" w:space="0"/>
        <w:bottom w:val="single" w:color="auto" w:sz="12" w:space="0"/>
        <w:insideH w:val="single" w:color="auto" w:sz="8" w:space="0"/>
        <w:insideV w:val="single" w:color="auto" w:sz="8" w:space="0"/>
      </w:tblBorders>
      <w:tblLayout w:type="fixed"/>
      <w:tblCellMar>
        <w:left w:w="0" w:type="dxa"/>
        <w:right w:w="0" w:type="dxa"/>
      </w:tblCellMar>
    </w:tblPr>
    <w:tcPr>
      <w:vAlign w:val="center"/>
    </w:tcPr>
    <w:tblStylePr w:type="firstRow">
      <w:pPr>
        <w:jc w:val="center"/>
      </w:pPr>
      <w:rPr>
        <w:rFonts w:ascii="Times New Roman" w:hAnsi="Times New Roman" w:eastAsia="宋体"/>
        <w:b w:val="0"/>
        <w:i w:val="0"/>
        <w:caps w:val="0"/>
        <w:smallCaps w:val="0"/>
        <w:strike w:val="0"/>
        <w:dstrike w:val="0"/>
        <w:vanish w:val="0"/>
        <w:color w:val="auto"/>
        <w:sz w:val="18"/>
        <w:u w:val="none"/>
        <w:vertAlign w:val="baseline"/>
      </w:rPr>
      <w:tcPr>
        <w:tcBorders>
          <w:top w:val="single" w:color="auto" w:sz="12" w:space="0"/>
          <w:left w:val="nil"/>
          <w:bottom w:val="single" w:color="auto" w:sz="12" w:space="0"/>
          <w:right w:val="nil"/>
          <w:insideH w:val="single" w:sz="4" w:space="0"/>
          <w:insideV w:val="single" w:sz="8" w:space="0"/>
          <w:tl2br w:val="nil"/>
          <w:tr2bl w:val="nil"/>
        </w:tcBorders>
      </w:tcPr>
    </w:tblStylePr>
  </w:style>
  <w:style w:type="paragraph" w:customStyle="1" w:styleId="35">
    <w:name w:val="图表名称"/>
    <w:basedOn w:val="1"/>
    <w:next w:val="1"/>
    <w:link w:val="36"/>
    <w:qFormat/>
    <w:uiPriority w:val="0"/>
    <w:pPr>
      <w:spacing w:beforeLines="50"/>
      <w:ind w:firstLine="0" w:firstLineChars="0"/>
      <w:jc w:val="center"/>
    </w:pPr>
    <w:rPr>
      <w:b/>
    </w:rPr>
  </w:style>
  <w:style w:type="character" w:customStyle="1" w:styleId="36">
    <w:name w:val="图表名称 字符"/>
    <w:basedOn w:val="19"/>
    <w:link w:val="35"/>
    <w:qFormat/>
    <w:uiPriority w:val="0"/>
    <w:rPr>
      <w:rFonts w:ascii="Times New Roman" w:hAnsi="Times New Roman" w:eastAsia="宋体" w:cs="Times New Roman"/>
      <w:sz w:val="24"/>
      <w:szCs w:val="28"/>
    </w:rPr>
  </w:style>
  <w:style w:type="table" w:customStyle="1" w:styleId="37">
    <w:name w:val="标准表"/>
    <w:basedOn w:val="15"/>
    <w:qFormat/>
    <w:uiPriority w:val="99"/>
    <w:pPr>
      <w:spacing w:line="240" w:lineRule="atLeast"/>
      <w:jc w:val="center"/>
    </w:pPr>
    <w:rPr>
      <w:rFonts w:ascii="Times New Roman" w:hAnsi="Times New Roman" w:eastAsia="宋体"/>
      <w:sz w:val="18"/>
    </w:rPr>
    <w:tblP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Pr>
    <w:tcPr>
      <w:vAlign w:val="center"/>
    </w:tcPr>
  </w:style>
  <w:style w:type="table" w:customStyle="1" w:styleId="38">
    <w:name w:val="无格式表格 11"/>
    <w:basedOn w:val="1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
    <w:name w:val="样式1"/>
    <w:basedOn w:val="15"/>
    <w:qFormat/>
    <w:uiPriority w:val="99"/>
    <w:pPr>
      <w:spacing w:line="240" w:lineRule="atLeast"/>
    </w:pPr>
    <w:rPr>
      <w:rFonts w:ascii="Times New Roman" w:hAnsi="Times New Roman" w:eastAsia="宋体"/>
      <w:sz w:val="18"/>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Pr>
  </w:style>
  <w:style w:type="paragraph" w:customStyle="1" w:styleId="40">
    <w:name w:val="TOC 标题1"/>
    <w:basedOn w:val="4"/>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paragraph" w:styleId="41">
    <w:name w:val="List Paragraph"/>
    <w:basedOn w:val="1"/>
    <w:qFormat/>
    <w:uiPriority w:val="34"/>
    <w:pPr>
      <w:ind w:firstLine="420"/>
    </w:pPr>
  </w:style>
  <w:style w:type="character" w:customStyle="1" w:styleId="42">
    <w:name w:val="正文文本 字符"/>
    <w:basedOn w:val="17"/>
    <w:link w:val="3"/>
    <w:semiHidden/>
    <w:qFormat/>
    <w:uiPriority w:val="99"/>
    <w:rPr>
      <w:rFonts w:ascii="Times New Roman" w:hAnsi="Times New Roman" w:eastAsia="仿宋_GB2312" w:cs="Times New Roman"/>
      <w:sz w:val="24"/>
      <w:szCs w:val="28"/>
    </w:rPr>
  </w:style>
  <w:style w:type="character" w:customStyle="1" w:styleId="43">
    <w:name w:val="正文文本首行缩进 字符"/>
    <w:basedOn w:val="42"/>
    <w:link w:val="2"/>
    <w:qFormat/>
    <w:uiPriority w:val="99"/>
    <w:rPr>
      <w:rFonts w:ascii="Times New Roman" w:hAnsi="Times New Roman" w:eastAsia="宋体" w:cs="Times New Roman"/>
      <w:sz w:val="24"/>
      <w:szCs w:val="28"/>
    </w:rPr>
  </w:style>
  <w:style w:type="character" w:customStyle="1" w:styleId="44">
    <w:name w:val="批注框文本 字符"/>
    <w:basedOn w:val="17"/>
    <w:link w:val="8"/>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385C1-2221-4FA9-A56D-26CCEFD83EF4}">
  <ds:schemaRefs/>
</ds:datastoreItem>
</file>

<file path=docProps/app.xml><?xml version="1.0" encoding="utf-8"?>
<Properties xmlns="http://schemas.openxmlformats.org/officeDocument/2006/extended-properties" xmlns:vt="http://schemas.openxmlformats.org/officeDocument/2006/docPropsVTypes">
  <Template>Normal</Template>
  <Pages>8</Pages>
  <Words>462</Words>
  <Characters>2634</Characters>
  <Lines>21</Lines>
  <Paragraphs>6</Paragraphs>
  <TotalTime>39</TotalTime>
  <ScaleCrop>false</ScaleCrop>
  <LinksUpToDate>false</LinksUpToDate>
  <CharactersWithSpaces>3090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2018-09-14T03:16:00Z</dcterms:created>
  <dc:creator>小魏</dc:creator>
  <cp:lastModifiedBy>北…念</cp:lastModifiedBy>
  <cp:lastPrinted>2018-11-08T04:06:00Z</cp:lastPrinted>
  <dcterms:modified xsi:type="dcterms:W3CDTF">2019-07-01T03:18:29Z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